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1FE2" w14:textId="77777777" w:rsidR="00255583" w:rsidRPr="005E1236" w:rsidRDefault="00000000">
      <w:pPr>
        <w:pStyle w:val="Bodytext40"/>
        <w:shd w:val="clear" w:color="auto" w:fill="auto"/>
      </w:pPr>
      <w:r>
        <w:rPr>
          <w:lang w:val="pl"/>
        </w:rPr>
        <w:t>Zasady etyczne i zgodności z przepisami dla dostawców</w:t>
      </w:r>
    </w:p>
    <w:p w14:paraId="4C97CAD6" w14:textId="77777777" w:rsidR="00255583" w:rsidRPr="005E1236" w:rsidRDefault="00000000">
      <w:pPr>
        <w:pStyle w:val="Tekstpodstawowy"/>
        <w:shd w:val="clear" w:color="auto" w:fill="auto"/>
        <w:spacing w:after="280"/>
        <w:jc w:val="both"/>
      </w:pPr>
      <w:r>
        <w:rPr>
          <w:lang w:val="pl"/>
        </w:rPr>
        <w:t>Spółka Shanghai United Imaging Healthcare Co. Ltd. oraz wszystkie jej podmioty zależne i stowarzyszone (zwane dalej łącznie „UIH”) zobowiązują się do zachowania rzetelności i uczciwości w swoich działaniach, w tym marketingowych. UIH ceni sobie relacje z dostawcami oraz zobowiązuje się do współpracy z nimi i wspierania ich w osiąganiu tych samych celów, w związku z czym niniejszym określa niniejsze Zasady etyczne i zgodności z przepisami dla dostawców (zwane dalej „Zasadami”), w których wyraża oczekiwania dotyczące przestrzegania przez Dostawcę najwyższych standardów etycznych we wszystkich aspektach jego kontaktów z UIH, partnerami biznesowymi i władzami państwowymi. Niniejsze Zasady mają zastosowanie do dostawcy produktów/usług, firmy konsultingowej, podwykonawcy, wynajmującego oraz dowolnego innego partnera biznesowego UIH (zwanych łącznie „Dostawcami”), a także w równej mierze do jego dyrektorów, członków zarządu, menedżerów, pracowników, personelu oddelegowanego i pracowników tymczasowych (zwanych dalej łącznie „Pracownikami”). UIH może zmieniać niniejsze Zasady za zawiadomieniem wystosowanym z odpowiednim wyprzedzeniem, a Dostawca ma w każdym przypadku obowiązek przestrzegać Zasad w zmienionej wersji. W celu uniknięcia wątpliwości, wymagania przedstawione w niniejszych Zasadach nie mają na celu zwolnienia Dostawcy z dotychczasowych zobowiązań regulacyjnych i umownych, natomiast w przypadku konfliktu z nimi Zasady mają pierwszeństwo.</w:t>
      </w:r>
    </w:p>
    <w:p w14:paraId="764D543F" w14:textId="77777777" w:rsidR="00255583" w:rsidRPr="005E1236" w:rsidRDefault="00000000">
      <w:pPr>
        <w:pStyle w:val="Heading20"/>
        <w:keepNext/>
        <w:keepLines/>
        <w:shd w:val="clear" w:color="auto" w:fill="auto"/>
      </w:pPr>
      <w:bookmarkStart w:id="0" w:name="bookmark0"/>
      <w:bookmarkStart w:id="1" w:name="bookmark1"/>
      <w:r>
        <w:rPr>
          <w:lang w:val="pl"/>
        </w:rPr>
        <w:t>CZĘŚĆ 1. ZGODNOŚĆ Z PRZEPISAMI I REGULACJAMI</w:t>
      </w:r>
      <w:bookmarkEnd w:id="0"/>
      <w:bookmarkEnd w:id="1"/>
    </w:p>
    <w:p w14:paraId="0FA5F34B" w14:textId="77777777" w:rsidR="00255583" w:rsidRPr="005E1236" w:rsidRDefault="00000000">
      <w:pPr>
        <w:pStyle w:val="Tekstpodstawowy"/>
        <w:shd w:val="clear" w:color="auto" w:fill="auto"/>
        <w:spacing w:after="280"/>
        <w:jc w:val="both"/>
      </w:pPr>
      <w:r>
        <w:rPr>
          <w:lang w:val="pl"/>
        </w:rPr>
        <w:t>Dostawca ma obowiązek przestrzegać wszystkich obowiązujących przepisów prawa, regulacji, zasad, nakazów, wymogów i polityk, jak także zaleca się podjęcie przez niego systematycznych działań oraz wdrożenie mechanizmów kontroli wewnętrznej w celu zapewnienia zgodności stosownych aspektów jego działalności z takimi przepisami i regulacjami.</w:t>
      </w:r>
    </w:p>
    <w:p w14:paraId="6C734834" w14:textId="77777777" w:rsidR="00255583" w:rsidRDefault="00000000">
      <w:pPr>
        <w:pStyle w:val="Heading20"/>
        <w:keepNext/>
        <w:keepLines/>
        <w:shd w:val="clear" w:color="auto" w:fill="auto"/>
      </w:pPr>
      <w:bookmarkStart w:id="2" w:name="bookmark2"/>
      <w:bookmarkStart w:id="3" w:name="bookmark3"/>
      <w:r>
        <w:rPr>
          <w:lang w:val="pl"/>
        </w:rPr>
        <w:t>CZĘŚĆ 2. RZETELNOŚĆ, ETYKA I SPOSÓB POSTĘPOWANIA</w:t>
      </w:r>
      <w:bookmarkEnd w:id="2"/>
      <w:bookmarkEnd w:id="3"/>
    </w:p>
    <w:p w14:paraId="1DA5E96E" w14:textId="77777777" w:rsidR="00255583" w:rsidRPr="005E1236" w:rsidRDefault="00000000">
      <w:pPr>
        <w:pStyle w:val="Tekstpodstawowy"/>
        <w:numPr>
          <w:ilvl w:val="0"/>
          <w:numId w:val="1"/>
        </w:numPr>
        <w:shd w:val="clear" w:color="auto" w:fill="auto"/>
        <w:tabs>
          <w:tab w:val="left" w:pos="418"/>
        </w:tabs>
        <w:ind w:left="440" w:hanging="440"/>
        <w:jc w:val="both"/>
      </w:pPr>
      <w:r>
        <w:rPr>
          <w:b/>
          <w:bCs/>
          <w:lang w:val="pl"/>
        </w:rPr>
        <w:t xml:space="preserve">Postanowienia ogólne. </w:t>
      </w:r>
      <w:r>
        <w:rPr>
          <w:lang w:val="pl"/>
        </w:rPr>
        <w:t>Dostawca ma obowiązek przestrzegać amerykańskiej ustawy o zagranicznych praktykach korupcyjnych (FCPA), chińskiej ustawy o zwalczaniu nieuczciwej konkurencji (AUCL) oraz innych globalnych i lokalnych przepisów dotyczących przeciwdziałania korupcji i przekupstwu obowiązujących w regionach, w których prowadzi on działalność. W przypadku braku takich przepisów lokalnych Dostawca musi zachować przejrzystość w swoich działaniach, na przykład przez przestrzeganie wymogu uprzedniego zawiadomienia wyznaczonego lokalnego właściwego organu w przypadkach, w których zachodzi podejrzenie korupcji.</w:t>
      </w:r>
    </w:p>
    <w:p w14:paraId="00F8E23A" w14:textId="77777777" w:rsidR="00255583" w:rsidRPr="005E1236" w:rsidRDefault="00000000">
      <w:pPr>
        <w:pStyle w:val="Tekstpodstawowy"/>
        <w:numPr>
          <w:ilvl w:val="0"/>
          <w:numId w:val="1"/>
        </w:numPr>
        <w:shd w:val="clear" w:color="auto" w:fill="auto"/>
        <w:tabs>
          <w:tab w:val="left" w:pos="418"/>
        </w:tabs>
        <w:ind w:left="440" w:hanging="440"/>
        <w:jc w:val="both"/>
      </w:pPr>
      <w:r>
        <w:rPr>
          <w:b/>
          <w:bCs/>
          <w:lang w:val="pl"/>
        </w:rPr>
        <w:t xml:space="preserve">Korupcja. </w:t>
      </w:r>
      <w:r>
        <w:rPr>
          <w:lang w:val="pl"/>
        </w:rPr>
        <w:t xml:space="preserve">UIH nie będzie tolerować ani aprobować żadnych ofert, przekazywania, obietnic, przyjmowania bądź upoważnień do przekazywania dowolnych korzyści w celach korupcyjnych przez samego Dostawcę lub przez pośrednika. Przez korzyści rozumie się dowolną płatność, opłatę, prezent, pożyczkę, nagrodę, towary lub inne korzyści materialne bądź niematerialne. Cel korupcyjny rozumie się jako zabieganie w niewłaściwy sposób o korzyści biznesowe i przychylność lub korzystną decyzję, niezależnie od tego, czy rzeczywiście dochodzi do korupcji. W Zasadach uznaje się i dopuszcza </w:t>
      </w:r>
      <w:r>
        <w:rPr>
          <w:i/>
          <w:iCs/>
          <w:lang w:val="pl"/>
        </w:rPr>
        <w:t>wyłącznie</w:t>
      </w:r>
      <w:r>
        <w:rPr>
          <w:lang w:val="pl"/>
        </w:rPr>
        <w:t xml:space="preserve"> prezenty, podróże, posiłki, rozrywkę, darowizny, sponsoring, datki na cele charytatywne oraz przysługi związane z działalnością biznesową, które są skromne, niezbyt częste, racjonalnie uzasadnione, proporcjonalne, dokonywane lub wyświadczane w dobrej wierze i w zgodnym z prawem celu. Wyjątek ten nie ma zastosowania w krajach, w których przyjmowanie dowolnych przysług przez pracowników służby zdrowia i/lub urzędników państwowych jest sprzeczne z prawem bądź standardami branżowymi.</w:t>
      </w:r>
    </w:p>
    <w:p w14:paraId="670B8690" w14:textId="77777777" w:rsidR="00255583" w:rsidRPr="005E1236" w:rsidRDefault="00000000">
      <w:pPr>
        <w:pStyle w:val="Tekstpodstawowy"/>
        <w:numPr>
          <w:ilvl w:val="0"/>
          <w:numId w:val="1"/>
        </w:numPr>
        <w:shd w:val="clear" w:color="auto" w:fill="auto"/>
        <w:tabs>
          <w:tab w:val="left" w:pos="418"/>
        </w:tabs>
        <w:ind w:left="440" w:hanging="440"/>
        <w:jc w:val="both"/>
      </w:pPr>
      <w:r>
        <w:rPr>
          <w:b/>
          <w:bCs/>
          <w:lang w:val="pl"/>
        </w:rPr>
        <w:t xml:space="preserve">Kontakty z urzędnikami państwowymi. </w:t>
      </w:r>
      <w:r>
        <w:rPr>
          <w:lang w:val="pl"/>
        </w:rPr>
        <w:t>Żadna bezpośrednia ani pośrednia część wynagrodzenia Dostawcy, zwrotu kosztów na jego rzecz lub płatności dokonywanej przez UIH na jego rzecz nie może być oferowana, przekazywana, obiecywana ani obejmowana upoważnieniem do przekazania jej na rzecz agencji rządowej, podmiotu państwowego, międzynarodowej organizacji publicznej lub instytucji pozarządowej, której pracownicy działają w charakterze urzędowym na rzecz bądź w imieniu któregokolwiek z wyżej wymienionych podmiotów, ani też żadnego z ich urzędników, dyrektorów, udziałowców, przedstawicieli, pracowników bądź konsultantów, partii politycznej lub kandydata na urząd w celach korupcyjnych.</w:t>
      </w:r>
    </w:p>
    <w:p w14:paraId="403624B2" w14:textId="77777777" w:rsidR="00255583" w:rsidRPr="005E1236" w:rsidRDefault="00000000">
      <w:pPr>
        <w:pStyle w:val="Tekstpodstawowy"/>
        <w:numPr>
          <w:ilvl w:val="0"/>
          <w:numId w:val="1"/>
        </w:numPr>
        <w:shd w:val="clear" w:color="auto" w:fill="auto"/>
        <w:tabs>
          <w:tab w:val="left" w:pos="418"/>
        </w:tabs>
        <w:ind w:left="440" w:hanging="440"/>
        <w:jc w:val="both"/>
      </w:pPr>
      <w:r>
        <w:rPr>
          <w:b/>
          <w:bCs/>
          <w:lang w:val="pl"/>
        </w:rPr>
        <w:lastRenderedPageBreak/>
        <w:t xml:space="preserve">Księgi i rejestry. </w:t>
      </w:r>
      <w:r>
        <w:rPr>
          <w:lang w:val="pl"/>
        </w:rPr>
        <w:t>Dostawca ma obowiązek: a) prowadzić księgi i rejestry, w tym w szczególności przechowywać rachunki, faktury i umowy związane z prezentami, podróżami, posiłkami, rozrywką, darowiznami, sponsoringiem, datkami na cele charytatywne oraz przysługami związanymi z działalnością biznesową UIH; b) dbać, aby księgi i rejestry odzwierciedlały w rzetelny sposób wszelkie dokonywane płatności, ponoszone wydatki oraz przekazywane dobra. Księgi i rejestry muszą być prowadzone zgodnie z przepisami prawa kraju, w którym dany pracownik służby zdrowia posiada pozwolenie na wykonywanie zawodu lub w którym dany urzędnik państwowy sprawuje swój urząd.</w:t>
      </w:r>
    </w:p>
    <w:p w14:paraId="782A928F" w14:textId="77777777" w:rsidR="00255583" w:rsidRPr="005E1236" w:rsidRDefault="00000000">
      <w:pPr>
        <w:pStyle w:val="Tekstpodstawowy"/>
        <w:numPr>
          <w:ilvl w:val="0"/>
          <w:numId w:val="1"/>
        </w:numPr>
        <w:shd w:val="clear" w:color="auto" w:fill="auto"/>
        <w:tabs>
          <w:tab w:val="left" w:pos="418"/>
        </w:tabs>
        <w:ind w:left="440" w:hanging="440"/>
        <w:jc w:val="both"/>
      </w:pPr>
      <w:r>
        <w:rPr>
          <w:b/>
          <w:bCs/>
          <w:lang w:val="pl"/>
        </w:rPr>
        <w:t xml:space="preserve">Konflikt interesów. </w:t>
      </w:r>
      <w:r>
        <w:rPr>
          <w:lang w:val="pl"/>
        </w:rPr>
        <w:t>Dostawca ma obowiązek niezwłocznie zgłaszać na infolinii UIH wszelkie faktyczne, postrzegane lub potencjalne konflikty interesów, w tym w szczególności relacje między Pracownikiem a UIH, interesy finansowe oraz inne sytuacje, które mogą wpływać na wykonywanie przez Dostawcę jego zobowiązań umownych wobec UIH, oraz zobowiązuje się do podjęcia działań w celu rozwiązania takich konfliktów.</w:t>
      </w:r>
    </w:p>
    <w:p w14:paraId="1445663F" w14:textId="6B2CC5FC" w:rsidR="00255583" w:rsidRPr="005E1236" w:rsidRDefault="00000000" w:rsidP="00E0762F">
      <w:pPr>
        <w:pStyle w:val="Tekstpodstawowy"/>
        <w:shd w:val="clear" w:color="auto" w:fill="auto"/>
        <w:ind w:left="442" w:hanging="442"/>
        <w:jc w:val="both"/>
      </w:pPr>
      <w:r>
        <w:rPr>
          <w:lang w:val="pl"/>
        </w:rPr>
        <w:t xml:space="preserve">6. </w:t>
      </w:r>
      <w:r w:rsidR="00E0762F">
        <w:rPr>
          <w:lang w:val="pl"/>
        </w:rPr>
        <w:tab/>
      </w:r>
      <w:r>
        <w:rPr>
          <w:b/>
          <w:bCs/>
          <w:lang w:val="pl"/>
        </w:rPr>
        <w:t xml:space="preserve">Pranie pieniędzy i finansowanie działalności przestępczej. </w:t>
      </w:r>
      <w:r>
        <w:rPr>
          <w:lang w:val="pl"/>
        </w:rPr>
        <w:t>Dostawca ma obowiązek zwracać uwagę na wszelkie nietypowe lub podejrzane przypadki wykorzystania zasobów UIH do celów prania pieniędzy bądź finansowania działalności przestępczej oraz informować o nich UIH. Przypadki takie mogą obejmować próby dokonywania płatności z nietypowych źródeł finansowania, które wiążą się z przekazywaniem środków do lub z krajów bądź podmiotów niezwiązanych z UIH lub też jej klientami.</w:t>
      </w:r>
    </w:p>
    <w:p w14:paraId="457040C0" w14:textId="2FB442C5" w:rsidR="00255583" w:rsidRPr="005E1236" w:rsidRDefault="00000000">
      <w:pPr>
        <w:pStyle w:val="Tekstpodstawowy"/>
        <w:shd w:val="clear" w:color="auto" w:fill="auto"/>
        <w:ind w:left="440" w:hanging="440"/>
        <w:jc w:val="both"/>
      </w:pPr>
      <w:r>
        <w:rPr>
          <w:lang w:val="pl"/>
        </w:rPr>
        <w:t xml:space="preserve">7. </w:t>
      </w:r>
      <w:r w:rsidR="00E0762F">
        <w:rPr>
          <w:lang w:val="pl"/>
        </w:rPr>
        <w:tab/>
      </w:r>
      <w:r>
        <w:rPr>
          <w:b/>
          <w:bCs/>
          <w:lang w:val="pl"/>
        </w:rPr>
        <w:t xml:space="preserve">Wykorzystywanie informacji wewnętrznych. </w:t>
      </w:r>
      <w:r>
        <w:rPr>
          <w:lang w:val="pl"/>
        </w:rPr>
        <w:t>Istotne informacje niepubliczne uzyskiwane w związku z relacjami biznesowymi z UIH nie mogą być wykorzystywane do obrotu akcjami jakichkolwiek spółek ani do doradzania komukolwiek w zakresie obrotu akcjami spółek, których dotyczą takie informacje niepubliczne.</w:t>
      </w:r>
    </w:p>
    <w:p w14:paraId="7E70D29F" w14:textId="31723A89" w:rsidR="00255583" w:rsidRPr="005E1236" w:rsidRDefault="00000000">
      <w:pPr>
        <w:pStyle w:val="Tekstpodstawowy"/>
        <w:shd w:val="clear" w:color="auto" w:fill="auto"/>
        <w:spacing w:after="280"/>
        <w:ind w:left="440" w:hanging="440"/>
        <w:jc w:val="both"/>
      </w:pPr>
      <w:r>
        <w:rPr>
          <w:lang w:val="pl"/>
        </w:rPr>
        <w:t xml:space="preserve">8. </w:t>
      </w:r>
      <w:r w:rsidR="00E0762F">
        <w:rPr>
          <w:lang w:val="pl"/>
        </w:rPr>
        <w:tab/>
      </w:r>
      <w:r>
        <w:rPr>
          <w:b/>
          <w:bCs/>
          <w:lang w:val="pl"/>
        </w:rPr>
        <w:t xml:space="preserve">Uczciwa konkurencja. </w:t>
      </w:r>
      <w:r>
        <w:rPr>
          <w:lang w:val="pl"/>
        </w:rPr>
        <w:t xml:space="preserve">Dostawca nie może angażować się w ustalanie cen, podział terytoriów, przydział klientów, działania mające na celu sprzeniewierzenie środków i inne działania lub porozumienia z konkurentami bądź klientami i partnerami biznesowymi UIH, które mogłyby stanowić bezprawne ograniczenie konkurencji. Zaleca się, aby Dostawca przeprowadził w racjonalny sposób badanie </w:t>
      </w:r>
      <w:r>
        <w:rPr>
          <w:i/>
          <w:iCs/>
          <w:lang w:val="pl"/>
        </w:rPr>
        <w:t xml:space="preserve">due diligence </w:t>
      </w:r>
      <w:r>
        <w:rPr>
          <w:lang w:val="pl"/>
        </w:rPr>
        <w:t>swoich kontrahentów i partnerów biznesowych w celu wyegzekwowania tych samych zasad uczciwej konkurencji.</w:t>
      </w:r>
    </w:p>
    <w:p w14:paraId="494D2BE7" w14:textId="77777777" w:rsidR="00255583" w:rsidRDefault="00000000">
      <w:pPr>
        <w:pStyle w:val="Heading20"/>
        <w:keepNext/>
        <w:keepLines/>
        <w:shd w:val="clear" w:color="auto" w:fill="auto"/>
      </w:pPr>
      <w:bookmarkStart w:id="4" w:name="bookmark4"/>
      <w:bookmarkStart w:id="5" w:name="bookmark5"/>
      <w:r>
        <w:rPr>
          <w:lang w:val="pl"/>
        </w:rPr>
        <w:t>CZĘŚĆ 3. PRACA I PRAWA CZŁOWIEKA</w:t>
      </w:r>
      <w:bookmarkEnd w:id="4"/>
      <w:bookmarkEnd w:id="5"/>
    </w:p>
    <w:p w14:paraId="309A066D" w14:textId="77777777" w:rsidR="00255583" w:rsidRPr="005E1236" w:rsidRDefault="00000000">
      <w:pPr>
        <w:pStyle w:val="Tekstpodstawowy"/>
        <w:numPr>
          <w:ilvl w:val="0"/>
          <w:numId w:val="2"/>
        </w:numPr>
        <w:shd w:val="clear" w:color="auto" w:fill="auto"/>
        <w:tabs>
          <w:tab w:val="left" w:pos="418"/>
        </w:tabs>
        <w:ind w:left="440" w:hanging="440"/>
        <w:jc w:val="both"/>
      </w:pPr>
      <w:r>
        <w:rPr>
          <w:b/>
          <w:bCs/>
          <w:lang w:val="pl"/>
        </w:rPr>
        <w:t xml:space="preserve">Przepisy antydyskryminacyjne. </w:t>
      </w:r>
      <w:r>
        <w:rPr>
          <w:lang w:val="pl"/>
        </w:rPr>
        <w:t>Dostawca nie może dopuszczać się dyskryminacji ze względu na płeć, rasę, kolor skóry, wiek, religię, orientację seksualną, pochodzenie narodowe, niepełnosprawność fizyczną lub umysłową oraz inne cechy chronione prawem.</w:t>
      </w:r>
    </w:p>
    <w:p w14:paraId="1FF53E58" w14:textId="77777777" w:rsidR="00255583" w:rsidRPr="005E1236" w:rsidRDefault="00000000">
      <w:pPr>
        <w:pStyle w:val="Tekstpodstawowy"/>
        <w:numPr>
          <w:ilvl w:val="0"/>
          <w:numId w:val="2"/>
        </w:numPr>
        <w:shd w:val="clear" w:color="auto" w:fill="auto"/>
        <w:tabs>
          <w:tab w:val="left" w:pos="418"/>
        </w:tabs>
        <w:ind w:left="440" w:hanging="440"/>
        <w:jc w:val="both"/>
      </w:pPr>
      <w:r>
        <w:rPr>
          <w:b/>
          <w:bCs/>
          <w:lang w:val="pl"/>
        </w:rPr>
        <w:t>Zapobieganie nękaniu.</w:t>
      </w:r>
      <w:r>
        <w:rPr>
          <w:lang w:val="pl"/>
        </w:rPr>
        <w:t xml:space="preserve"> Każdy Pracownik zasługuje na traktowanie z godnością i szacunkiem. Od Dostawcy oczekuje się, że nie będzie zastraszać Pracowników ani też grozić im czy poddawać ich bezprawnemu bądź nieludzkiemu traktowaniu, w tym między innymi słownemu, fizycznemu, seksualnemu lub psychologicznemu znęcaniu się i molestowaniu.</w:t>
      </w:r>
    </w:p>
    <w:p w14:paraId="1E657908" w14:textId="77777777" w:rsidR="00255583" w:rsidRPr="005E1236" w:rsidRDefault="00000000">
      <w:pPr>
        <w:pStyle w:val="Tekstpodstawowy"/>
        <w:numPr>
          <w:ilvl w:val="0"/>
          <w:numId w:val="2"/>
        </w:numPr>
        <w:shd w:val="clear" w:color="auto" w:fill="auto"/>
        <w:tabs>
          <w:tab w:val="left" w:pos="418"/>
        </w:tabs>
        <w:spacing w:after="280"/>
        <w:ind w:left="440" w:hanging="440"/>
        <w:jc w:val="both"/>
      </w:pPr>
      <w:r>
        <w:rPr>
          <w:b/>
          <w:bCs/>
          <w:lang w:val="pl"/>
        </w:rPr>
        <w:t xml:space="preserve">Praca przymusowa. </w:t>
      </w:r>
      <w:r>
        <w:rPr>
          <w:lang w:val="pl"/>
        </w:rPr>
        <w:t>Dostawca ma obowiązek aktywnie identyfikować, eliminować i zgłaszać przypadki współczesnego niewolnictwa, w tym w szczególności pracy przymusowej, praktyk podobnych do niewolnictwa i handlu ludźmi w swojej działalności biznesowej oraz łańcuchu dostaw. Od Dostawcy oczekuje się zapewnienia, aby wszelka praca była podejmowana bez przymusu, zatrudniania Pracowników będących powyżej minimalnego wymaganego prawem wieku, oraz zagwarantowania Pracownikom ustawowych uprawnień, minimalnego wynagrodzenia, przestrzegania maksymalnego czasu pracy i innych uprawnień przyznanych na mocy prawa.</w:t>
      </w:r>
    </w:p>
    <w:p w14:paraId="35E0F130" w14:textId="77777777" w:rsidR="00255583" w:rsidRDefault="00000000">
      <w:pPr>
        <w:pStyle w:val="Heading20"/>
        <w:keepNext/>
        <w:keepLines/>
        <w:shd w:val="clear" w:color="auto" w:fill="auto"/>
      </w:pPr>
      <w:bookmarkStart w:id="6" w:name="bookmark6"/>
      <w:bookmarkStart w:id="7" w:name="bookmark7"/>
      <w:r>
        <w:rPr>
          <w:lang w:val="pl"/>
        </w:rPr>
        <w:t>CZĘŚĆ 4. BEZPIECZEŃSTWO I HIGIENA PRACY ORAZ OCHRONA ŚRODOWISKA</w:t>
      </w:r>
      <w:bookmarkEnd w:id="6"/>
      <w:bookmarkEnd w:id="7"/>
    </w:p>
    <w:p w14:paraId="11918AA5" w14:textId="77777777" w:rsidR="00255583" w:rsidRPr="005E1236" w:rsidRDefault="00000000">
      <w:pPr>
        <w:pStyle w:val="Tekstpodstawowy"/>
        <w:numPr>
          <w:ilvl w:val="0"/>
          <w:numId w:val="3"/>
        </w:numPr>
        <w:shd w:val="clear" w:color="auto" w:fill="auto"/>
        <w:tabs>
          <w:tab w:val="left" w:pos="418"/>
        </w:tabs>
        <w:ind w:left="440" w:hanging="440"/>
        <w:jc w:val="both"/>
      </w:pPr>
      <w:r>
        <w:rPr>
          <w:b/>
          <w:bCs/>
          <w:lang w:val="pl"/>
        </w:rPr>
        <w:t xml:space="preserve">Bezpieczeństwo i higiena w miejscu pracy. </w:t>
      </w:r>
      <w:r>
        <w:rPr>
          <w:lang w:val="pl"/>
        </w:rPr>
        <w:t>Dostawca jest zobowiązany do zapewnienia swoim pracownikom (w tym dyspozytorom, pracownikom godzinowym oraz stażystom) uczciwego i etycznego środowiska pracy z uwzględnieniem odpowiednich szkoleń z zakresu bezpieczeństwa, standardowych środków ochrony pracowników i środków ostrożności. Dostawca ma również obowiązek zapewnić w miejscu pracy w pełni sprawne zaplecze sanitarne oraz właściwe warunki BHP w celu ochrony pracowników przed wypadkami i chorobami zawodowymi, a także zapewnić pracownikom ubezpieczenie od następstw nieszczęśliwych wypadków w celu ochrony ich uzasadnionych interesów.</w:t>
      </w:r>
    </w:p>
    <w:p w14:paraId="17808501" w14:textId="77777777" w:rsidR="00255583" w:rsidRPr="005E1236" w:rsidRDefault="00000000">
      <w:pPr>
        <w:pStyle w:val="Tekstpodstawowy"/>
        <w:numPr>
          <w:ilvl w:val="0"/>
          <w:numId w:val="3"/>
        </w:numPr>
        <w:shd w:val="clear" w:color="auto" w:fill="auto"/>
        <w:tabs>
          <w:tab w:val="left" w:pos="418"/>
        </w:tabs>
        <w:spacing w:after="280"/>
        <w:ind w:left="440" w:hanging="440"/>
        <w:jc w:val="both"/>
      </w:pPr>
      <w:r>
        <w:rPr>
          <w:b/>
          <w:bCs/>
          <w:lang w:val="pl"/>
        </w:rPr>
        <w:t xml:space="preserve">Bezpieczeństwo produktów i zagrożenia dla środowiska. </w:t>
      </w:r>
      <w:r>
        <w:rPr>
          <w:lang w:val="pl"/>
        </w:rPr>
        <w:t xml:space="preserve">Zaleca się, aby Dostawca wyraźnie zidentyfikował substancje chemiczne i inne materiały stanowiące zagrożenie dla ludzi lub środowiska oraz zarządzał nimi, dopilnowując ich bezpiecznej utylizacji, transportu, </w:t>
      </w:r>
      <w:r>
        <w:rPr>
          <w:lang w:val="pl"/>
        </w:rPr>
        <w:lastRenderedPageBreak/>
        <w:t>przechowywania, wykorzystywania, poddawania recyklingowi i ponownego wykorzystywania. Zanieczyszczenia (takie jak ścieki, gazy spalinowe, odpady stałe i hałas) emitowane podczas działalności produkcyjnej lub usługowej muszą być zgodne z lokalnymi normami emisji, a ponadto należy wprowadzać ciągłe ulepszenia w celu zmniejszenia wpływu na środowisko i jego obciążenia.</w:t>
      </w:r>
    </w:p>
    <w:p w14:paraId="387B3F85" w14:textId="77777777" w:rsidR="00255583" w:rsidRPr="005E1236" w:rsidRDefault="00000000">
      <w:pPr>
        <w:pStyle w:val="Heading20"/>
        <w:keepNext/>
        <w:keepLines/>
        <w:shd w:val="clear" w:color="auto" w:fill="auto"/>
      </w:pPr>
      <w:bookmarkStart w:id="8" w:name="bookmark8"/>
      <w:bookmarkStart w:id="9" w:name="bookmark9"/>
      <w:r>
        <w:rPr>
          <w:lang w:val="pl"/>
        </w:rPr>
        <w:t>CZĘŚĆ 5. OCHRONA DANYCH I INFORMACJE ZASTRZEŻONE</w:t>
      </w:r>
      <w:bookmarkEnd w:id="8"/>
      <w:bookmarkEnd w:id="9"/>
    </w:p>
    <w:p w14:paraId="6B40A815" w14:textId="77777777" w:rsidR="00255583" w:rsidRPr="005E1236" w:rsidRDefault="00000000">
      <w:pPr>
        <w:pStyle w:val="Tekstpodstawowy"/>
        <w:numPr>
          <w:ilvl w:val="0"/>
          <w:numId w:val="4"/>
        </w:numPr>
        <w:shd w:val="clear" w:color="auto" w:fill="auto"/>
        <w:tabs>
          <w:tab w:val="left" w:pos="418"/>
        </w:tabs>
        <w:ind w:left="440" w:hanging="440"/>
        <w:jc w:val="both"/>
      </w:pPr>
      <w:r>
        <w:rPr>
          <w:b/>
          <w:bCs/>
          <w:lang w:val="pl"/>
        </w:rPr>
        <w:t xml:space="preserve">Informacje poufne i własność intelektualna. </w:t>
      </w:r>
      <w:r>
        <w:rPr>
          <w:lang w:val="pl"/>
        </w:rPr>
        <w:t>Dostawca ma obowiązek przestrzegać zasad poufności i szanować własność intelektualną oraz podejmować odpowiednie środki bezpieczeństwa w celu ochrony informacji, do których uzyskuje dostęp w wyniku swoich relacji biznesowych z UIH. Dostawca nie może ujawniać ani przekazywać osobom trzecim niedostępnych publicznie informacji UIH, chyba że w odpowiednich umowach postanowiono inaczej. Dostawca przyjmuje do wiadomości, że UIH jest wyłącznym właścicielem określeń „</w:t>
      </w:r>
      <w:r>
        <w:rPr>
          <w:i/>
          <w:iCs/>
          <w:lang w:val="pl"/>
        </w:rPr>
        <w:t>United Imaging</w:t>
      </w:r>
      <w:r>
        <w:rPr>
          <w:lang w:val="pl"/>
        </w:rPr>
        <w:t>” i „</w:t>
      </w:r>
      <w:r>
        <w:rPr>
          <w:i/>
          <w:iCs/>
          <w:lang w:val="pl"/>
        </w:rPr>
        <w:t>UIH</w:t>
      </w:r>
      <w:r>
        <w:rPr>
          <w:lang w:val="pl"/>
        </w:rPr>
        <w:t>” lub patentów, znaków towarowych, praw autorskich, nazw handlowych, tajemnic handlowych oraz innej własności intelektualnej podobnej lub niepodobnej do powyższych, i Dostawca nie może z nich korzystać w sposób, który mógłby zaszkodzić reputacji lub pozycji UIH bądź stanowić konkurencję dla UIH. Ponadto Dostawca nie może naruszać praw własności intelektualnej i informacji poufnych należących do osób trzecich.</w:t>
      </w:r>
    </w:p>
    <w:p w14:paraId="2A7D1482" w14:textId="77777777" w:rsidR="00255583" w:rsidRPr="005E1236" w:rsidRDefault="00000000">
      <w:pPr>
        <w:pStyle w:val="Tekstpodstawowy"/>
        <w:numPr>
          <w:ilvl w:val="0"/>
          <w:numId w:val="4"/>
        </w:numPr>
        <w:shd w:val="clear" w:color="auto" w:fill="auto"/>
        <w:tabs>
          <w:tab w:val="left" w:pos="418"/>
        </w:tabs>
        <w:spacing w:after="280"/>
        <w:ind w:left="440" w:hanging="440"/>
        <w:jc w:val="both"/>
      </w:pPr>
      <w:r>
        <w:rPr>
          <w:b/>
          <w:bCs/>
          <w:lang w:val="pl"/>
        </w:rPr>
        <w:t xml:space="preserve">Ochrona danych. </w:t>
      </w:r>
      <w:r>
        <w:rPr>
          <w:lang w:val="pl"/>
        </w:rPr>
        <w:t>Dostawca ma obowiązek dbać, aby gromadzenie, przechowywanie, przekazywanie, wykorzystywanie, usuwanie i/lub ujawnianie imienia i nazwiska osób fizycznych, informacji kontaktowych, finansowych oraz innych danych umożliwiających identyfikację osób było w pełni zgodne z obowiązującymi przepisami dotyczącymi ochrony danych i bezpieczeństwa cybernetycznego. Dostawca ma obowiązek zawiadomić UIH o każdym potencjalnym przypadku naruszeniu ochrony danych, w tym osobowych, chyba że w odpowiednich umowach z UIH postanowiono inaczej.</w:t>
      </w:r>
    </w:p>
    <w:p w14:paraId="1B8881D7" w14:textId="77777777" w:rsidR="00255583" w:rsidRDefault="00000000">
      <w:pPr>
        <w:pStyle w:val="Heading20"/>
        <w:keepNext/>
        <w:keepLines/>
        <w:shd w:val="clear" w:color="auto" w:fill="auto"/>
      </w:pPr>
      <w:bookmarkStart w:id="10" w:name="bookmark10"/>
      <w:bookmarkStart w:id="11" w:name="bookmark11"/>
      <w:r>
        <w:rPr>
          <w:lang w:val="pl"/>
        </w:rPr>
        <w:t>CZĘŚĆ 6. KONTROLA WYWOZU I PRZYWOZU</w:t>
      </w:r>
      <w:bookmarkEnd w:id="10"/>
      <w:bookmarkEnd w:id="11"/>
    </w:p>
    <w:p w14:paraId="5EE9DAF0" w14:textId="77777777" w:rsidR="00255583" w:rsidRPr="005E1236" w:rsidRDefault="00000000">
      <w:pPr>
        <w:pStyle w:val="Tekstpodstawowy"/>
        <w:numPr>
          <w:ilvl w:val="0"/>
          <w:numId w:val="5"/>
        </w:numPr>
        <w:shd w:val="clear" w:color="auto" w:fill="auto"/>
        <w:tabs>
          <w:tab w:val="left" w:pos="418"/>
        </w:tabs>
        <w:ind w:left="440" w:hanging="440"/>
        <w:jc w:val="both"/>
      </w:pPr>
      <w:r>
        <w:rPr>
          <w:b/>
          <w:bCs/>
          <w:lang w:val="pl"/>
        </w:rPr>
        <w:t xml:space="preserve">Zasady ogólne. </w:t>
      </w:r>
      <w:r>
        <w:rPr>
          <w:lang w:val="pl"/>
        </w:rPr>
        <w:t>UIH zobowiązuje się do zapewnienia zgodności (re)eksportu z obowiązującymi przepisami i regulacjami dotyczącymi kontroli eksportu, w tym między innymi z amerykańskimi przepisami dotyczącymi kontroli eksportu (Export Administration Regulations – EAR) oraz przepisami, regulacjami i wytycznymi administracyjnymi ustanowionymi przez amerykański Urząd Kontroli Aktywów Zagranicznych (Office of Foreign Assets Control – OFAC), zwanymi dalej łącznie „Regulacjami Eksportowymi”. Elementem systemu zapewnienia zgodności z przepisami przez UIH jest wymaganie od każdego Dostawcy, aby w kontaktach z UIH przestrzegał również Regulacji Eksportowych. Dostawca wypłaci UIH odszkodowanie z tytułu wszelkich roszczeń, postępowań, dochodzeń, pozwów, grzywien, strat, kosztów i szkód oraz zabezpieczy i będzie chronić UIH przed wszelkimi roszczeniami, postępowaniami, dochodzeniami, pozwami, grzywnami, stratami, kosztami i szkodami wynikającymi z działań Dostawcy bądź związanymi z jego działaniami niezgodnymi z Regulacjami Eksportowymi w związku z przekazaniem UIH fałszywych, wprowadzających w błąd lub niepełnych informacji, przy czym Dostawca ma obowiązek zrekompensować UIH wszelkie straty i wydatki poniesione w związku z powyższymi.</w:t>
      </w:r>
    </w:p>
    <w:p w14:paraId="4C810E1E" w14:textId="77777777" w:rsidR="00255583" w:rsidRPr="005E1236" w:rsidRDefault="00000000">
      <w:pPr>
        <w:pStyle w:val="Tekstpodstawowy"/>
        <w:numPr>
          <w:ilvl w:val="0"/>
          <w:numId w:val="5"/>
        </w:numPr>
        <w:shd w:val="clear" w:color="auto" w:fill="auto"/>
        <w:tabs>
          <w:tab w:val="left" w:pos="418"/>
        </w:tabs>
        <w:ind w:left="440" w:hanging="440"/>
        <w:jc w:val="both"/>
      </w:pPr>
      <w:r>
        <w:rPr>
          <w:b/>
          <w:bCs/>
          <w:lang w:val="pl"/>
        </w:rPr>
        <w:t xml:space="preserve">Wdrożenie. </w:t>
      </w:r>
      <w:r>
        <w:rPr>
          <w:lang w:val="pl"/>
        </w:rPr>
        <w:t xml:space="preserve">Dostawca nie może (re)eksportować, wydawać ani przekazywać UIH w obrębie kraju, bezpośrednio ani pośrednio, żadnych produktów, oprogramowania, danych technicznych lub usług, części zamiennych bądź narzędzi bez uprzedniej zgody lub licencji, jeżeli licencja taka jest wymagana na mocy Regulacji Eksportowych. Dostawca ma obowiązek sprawdzić, czy pośrednik, spedytor i instytucje finansowe biorące udział w transakcji z UIH nie znajdują się na liście osób, którym odmówiono przywilejów eksportowych, w tym na liście podmiotów objętych sankcjami (SDN) ogłoszonej przez OFAC, a także liście podmiotów i osób objętych zakazem (Entity List and Denied Persons List) ogłoszonej przez amerykańskie biuro ds. przemysłu i bezpieczeństwa (Bureau of Industry and Security) – zob. aktualny wykaz na stronie </w:t>
      </w:r>
      <w:hyperlink r:id="rId7" w:history="1">
        <w:r>
          <w:rPr>
            <w:color w:val="0000FF"/>
            <w:u w:val="single"/>
            <w:lang w:val="pl"/>
          </w:rPr>
          <w:t>https://www.trade.gov/consolidated-screening-list</w:t>
        </w:r>
      </w:hyperlink>
      <w:r>
        <w:rPr>
          <w:lang w:val="pl"/>
        </w:rPr>
        <w:t>. UIH może jednostronnie rozwiązać lub zmienić wszelkie ustalenia umowne z Dostawcą bez konieczności wypłacenia jakiejkolwiek rekompensaty, nawiązki czy kar umownych związanych ze szkodami ubocznymi, szczególnymi bądź następczymi, jeżeli takie rozwiązanie lub zmiana są związane z przestrzeganiem Regulacji Eksportowych, sankcji bądź innych regulacji celnych.</w:t>
      </w:r>
    </w:p>
    <w:p w14:paraId="0E076214" w14:textId="77777777" w:rsidR="00255583" w:rsidRPr="005E1236" w:rsidRDefault="00000000">
      <w:pPr>
        <w:pStyle w:val="Tekstpodstawowy"/>
        <w:numPr>
          <w:ilvl w:val="0"/>
          <w:numId w:val="5"/>
        </w:numPr>
        <w:shd w:val="clear" w:color="auto" w:fill="auto"/>
        <w:tabs>
          <w:tab w:val="left" w:pos="418"/>
        </w:tabs>
        <w:spacing w:after="280"/>
        <w:ind w:left="440" w:hanging="440"/>
        <w:jc w:val="both"/>
      </w:pPr>
      <w:r>
        <w:rPr>
          <w:b/>
          <w:bCs/>
          <w:lang w:val="pl"/>
        </w:rPr>
        <w:t xml:space="preserve">Dokumenty towarzyszące. </w:t>
      </w:r>
      <w:r>
        <w:rPr>
          <w:lang w:val="pl"/>
        </w:rPr>
        <w:t xml:space="preserve">Oczekuje się, że Dostawca dostarczy UIH w formie pisemnej lub wskaże na etykiecie produktu bądź w innych dokumentach wysyłkowych, a w przypadku jakichkolwiek zmian przekaże bez zbędnej zwłoki wszystkie informacje wymagane przez UIH </w:t>
      </w:r>
      <w:r>
        <w:rPr>
          <w:lang w:val="pl"/>
        </w:rPr>
        <w:lastRenderedPageBreak/>
        <w:t>w celu zachowania zgodności z Regulacjami Eksportowymi w zakresie reeksportu, wydania lub przekazania w obrębie kraju produktów lub technologii Dostawcy, w tym w szczególności: a) stosowne numery list eksportowych, takie jak numer klasyfikacji kontroli eksportowej (ECCN) na mocy EAR; b) kod statystyczny towaru zgodnie ze statystyką handlu zagranicznego i Systemem Zharmonizowanym; oraz c) kraj pochodzenia. Jeżeli Dostawca nie jest w stanie dostarczyć powyższych informacji, Dostawca będzie w pełni współpracować z UIH w celu dokonania klasyfikacji produktu i stosownych ustaleń zgodnie z EAR.</w:t>
      </w:r>
    </w:p>
    <w:p w14:paraId="4C4A5030" w14:textId="77777777" w:rsidR="00255583" w:rsidRDefault="00000000">
      <w:pPr>
        <w:pStyle w:val="Heading20"/>
        <w:keepNext/>
        <w:keepLines/>
        <w:shd w:val="clear" w:color="auto" w:fill="auto"/>
      </w:pPr>
      <w:bookmarkStart w:id="12" w:name="bookmark12"/>
      <w:bookmarkStart w:id="13" w:name="bookmark13"/>
      <w:r>
        <w:rPr>
          <w:lang w:val="pl"/>
        </w:rPr>
        <w:t>CZĘŚĆ 7. INFORMACJE ZWOTNE, SKARGI I AUDYT</w:t>
      </w:r>
      <w:bookmarkEnd w:id="12"/>
      <w:bookmarkEnd w:id="13"/>
    </w:p>
    <w:p w14:paraId="59F320BF" w14:textId="77777777" w:rsidR="00255583" w:rsidRPr="005E1236" w:rsidRDefault="00000000">
      <w:pPr>
        <w:pStyle w:val="Tekstpodstawowy"/>
        <w:numPr>
          <w:ilvl w:val="0"/>
          <w:numId w:val="6"/>
        </w:numPr>
        <w:shd w:val="clear" w:color="auto" w:fill="auto"/>
        <w:tabs>
          <w:tab w:val="left" w:pos="418"/>
        </w:tabs>
        <w:ind w:left="440" w:hanging="440"/>
        <w:jc w:val="both"/>
      </w:pPr>
      <w:r>
        <w:rPr>
          <w:b/>
          <w:bCs/>
          <w:lang w:val="pl"/>
        </w:rPr>
        <w:t xml:space="preserve">Sprawozdawczość i działania naprawcze. </w:t>
      </w:r>
      <w:r>
        <w:rPr>
          <w:lang w:val="pl"/>
        </w:rPr>
        <w:t>W przypadku uzyskania informacji o jakimkolwiek podejrzeniu naruszenia przepisów przez Pracownika Dostawcy i/lub pracowników UIH Dostawca ma obowiązek zgłosić taki incydent na infolinię UIH pod adresem [</w:t>
      </w:r>
      <w:hyperlink r:id="rId8" w:history="1">
        <w:r>
          <w:rPr>
            <w:b/>
            <w:bCs/>
            <w:lang w:val="pl"/>
          </w:rPr>
          <w:t>legalcompliance@united-imaging.com</w:t>
        </w:r>
      </w:hyperlink>
      <w:r>
        <w:rPr>
          <w:lang w:val="pl"/>
        </w:rPr>
        <w:t>] w ciągu trzech (3) dni. W zamian za zgodne z prawdą i dokonywane w dobrej wierze zgłoszenia UIH w miarę możliwości zapewni Dostawcy więcej sposobności biznesowych. Jeżeli okaże się, że Dostawca zataił fakty lub nie podjął terminowych działań w związku z podejrzeniem naruszenia przepisów, UIH może dochodzić odszkodowania z tego tytułu.</w:t>
      </w:r>
    </w:p>
    <w:p w14:paraId="5F3C1B06" w14:textId="77777777" w:rsidR="00255583" w:rsidRPr="005E1236" w:rsidRDefault="00000000">
      <w:pPr>
        <w:pStyle w:val="Tekstpodstawowy"/>
        <w:numPr>
          <w:ilvl w:val="0"/>
          <w:numId w:val="6"/>
        </w:numPr>
        <w:shd w:val="clear" w:color="auto" w:fill="auto"/>
        <w:tabs>
          <w:tab w:val="left" w:pos="418"/>
        </w:tabs>
        <w:ind w:left="440" w:hanging="440"/>
        <w:jc w:val="both"/>
      </w:pPr>
      <w:r>
        <w:rPr>
          <w:b/>
          <w:bCs/>
          <w:lang w:val="pl"/>
        </w:rPr>
        <w:t xml:space="preserve">Zakaz odwetu. </w:t>
      </w:r>
      <w:r>
        <w:rPr>
          <w:lang w:val="pl"/>
        </w:rPr>
        <w:t>UIH zachęca do dokonywania anonimowych zgłoszeń oraz surowo zabrania wszelkich form odwetu na Dostawcy lub innej osobie z powodu zgłoszenia przez nią bądź możliwości zgłoszenia przez nią skargi. Jeżeli nie jest to wymagane prawem lub w związku z działaniami organów ścigania, bądź o ile sam zgłaszający nie wyrazi na to zgody, tożsamość zgłaszającego oraz przekazane przez niego dokumenty nie będą ujawniane ani udostępniane żadnym stronom poza Działem Prawnym i Zgodności z Przepisami UIH.</w:t>
      </w:r>
    </w:p>
    <w:p w14:paraId="1FE594A4" w14:textId="77777777" w:rsidR="00255583" w:rsidRPr="005E1236" w:rsidRDefault="00000000">
      <w:pPr>
        <w:pStyle w:val="Tekstpodstawowy"/>
        <w:numPr>
          <w:ilvl w:val="0"/>
          <w:numId w:val="6"/>
        </w:numPr>
        <w:shd w:val="clear" w:color="auto" w:fill="auto"/>
        <w:tabs>
          <w:tab w:val="left" w:pos="418"/>
        </w:tabs>
        <w:spacing w:after="960"/>
        <w:ind w:left="440" w:hanging="440"/>
        <w:jc w:val="both"/>
      </w:pPr>
      <w:r>
        <w:rPr>
          <w:b/>
          <w:bCs/>
          <w:lang w:val="pl"/>
        </w:rPr>
        <w:t xml:space="preserve">Audyt i ocena. </w:t>
      </w:r>
      <w:r>
        <w:rPr>
          <w:lang w:val="pl"/>
        </w:rPr>
        <w:t xml:space="preserve">Dostawca zobowiązuje się wspierać UIH w przeprowadzeniu oceny </w:t>
      </w:r>
      <w:r>
        <w:rPr>
          <w:i/>
          <w:iCs/>
          <w:lang w:val="pl"/>
        </w:rPr>
        <w:t xml:space="preserve">due diligence </w:t>
      </w:r>
      <w:r>
        <w:rPr>
          <w:lang w:val="pl"/>
        </w:rPr>
        <w:t>przed zawarciem umowy, począwszy od badania i analizy dokumentów poprzez wizyty na miejscu oraz przeglądy zarządzania. Dostawca zobowiązuje się również do wspierania UIH lub innej osoby trzeciej wyznaczonej przez UIH w przeprowadzeniu doraźnych audytów mających na celu zweryfikowanie, czy standardy wynikające z Zasad (w tym m.in. określone w punkcie Księgi i rejestry) są w pełni przestrzegane. UIH ma prawo do określenia i zaplanowania przebiegu audytu oraz żądania wydania dokumentów i możliwości rozmowy z pracownikami w razie potrzeby. Jeżeli Dostawca spowoduje istotne utrudnienia w procesie audytu, w tym m.in. przez ukrycie informacji, podanie nieprawdziwych informacji, odmowę dostarczenia dokumentów i/lub odmowę umówienia rozmów z pracownikami bez uzasadnionej przyczyny, UIH zastrzega sobie prawo do jednostronnego rozwiązania umowy i zakończenia związanych z nią płatności. Dostawca może zażądać od pracowników UIH lub osoby trzeciej wyznaczonej przez UIH podpisania odpowiedniej umowy o poufności i nieujawnianiu informacji.</w:t>
      </w:r>
    </w:p>
    <w:p w14:paraId="3EC898FE" w14:textId="77777777" w:rsidR="00E0762F" w:rsidRPr="009103CA" w:rsidRDefault="00E0762F">
      <w:pPr>
        <w:pStyle w:val="Bodytext30"/>
        <w:shd w:val="clear" w:color="auto" w:fill="auto"/>
        <w:spacing w:after="80"/>
        <w:jc w:val="both"/>
        <w:rPr>
          <w:rFonts w:ascii="Arial" w:hAnsi="Arial"/>
          <w:lang w:val="pl-PL"/>
        </w:rPr>
      </w:pPr>
    </w:p>
    <w:p w14:paraId="57C6FB69" w14:textId="77777777" w:rsidR="00E0762F" w:rsidRPr="009103CA" w:rsidRDefault="00E0762F">
      <w:pPr>
        <w:pStyle w:val="Bodytext30"/>
        <w:shd w:val="clear" w:color="auto" w:fill="auto"/>
        <w:spacing w:after="80"/>
        <w:jc w:val="both"/>
        <w:rPr>
          <w:rFonts w:ascii="Arial" w:hAnsi="Arial"/>
          <w:lang w:val="pl-PL"/>
        </w:rPr>
      </w:pPr>
    </w:p>
    <w:p w14:paraId="4E2ADBF4" w14:textId="77777777" w:rsidR="00E0762F" w:rsidRPr="009103CA" w:rsidRDefault="00E0762F">
      <w:pPr>
        <w:pStyle w:val="Bodytext30"/>
        <w:shd w:val="clear" w:color="auto" w:fill="auto"/>
        <w:spacing w:after="80"/>
        <w:jc w:val="both"/>
        <w:rPr>
          <w:rFonts w:ascii="Arial" w:hAnsi="Arial"/>
          <w:lang w:val="pl-PL"/>
        </w:rPr>
      </w:pPr>
    </w:p>
    <w:p w14:paraId="3C629B7E" w14:textId="77777777" w:rsidR="00E0762F" w:rsidRPr="009103CA" w:rsidRDefault="00E0762F">
      <w:pPr>
        <w:pStyle w:val="Bodytext30"/>
        <w:shd w:val="clear" w:color="auto" w:fill="auto"/>
        <w:spacing w:after="80"/>
        <w:jc w:val="both"/>
        <w:rPr>
          <w:rFonts w:ascii="Arial" w:hAnsi="Arial"/>
          <w:lang w:val="pl-PL"/>
        </w:rPr>
      </w:pPr>
    </w:p>
    <w:p w14:paraId="036DDB8F" w14:textId="77777777" w:rsidR="00E0762F" w:rsidRPr="009103CA" w:rsidRDefault="00E0762F">
      <w:pPr>
        <w:pStyle w:val="Bodytext30"/>
        <w:shd w:val="clear" w:color="auto" w:fill="auto"/>
        <w:spacing w:after="80"/>
        <w:jc w:val="both"/>
        <w:rPr>
          <w:rFonts w:ascii="Arial" w:hAnsi="Arial"/>
          <w:lang w:val="pl-PL"/>
        </w:rPr>
      </w:pPr>
    </w:p>
    <w:p w14:paraId="39EB852A" w14:textId="77777777" w:rsidR="00E0762F" w:rsidRPr="009103CA" w:rsidRDefault="00E0762F">
      <w:pPr>
        <w:pStyle w:val="Bodytext30"/>
        <w:shd w:val="clear" w:color="auto" w:fill="auto"/>
        <w:spacing w:after="80"/>
        <w:jc w:val="both"/>
        <w:rPr>
          <w:rFonts w:ascii="Arial" w:hAnsi="Arial"/>
          <w:lang w:val="pl-PL"/>
        </w:rPr>
      </w:pPr>
    </w:p>
    <w:p w14:paraId="5E54B21D" w14:textId="77777777" w:rsidR="00E0762F" w:rsidRPr="009103CA" w:rsidRDefault="00E0762F">
      <w:pPr>
        <w:pStyle w:val="Bodytext30"/>
        <w:shd w:val="clear" w:color="auto" w:fill="auto"/>
        <w:spacing w:after="80"/>
        <w:jc w:val="both"/>
        <w:rPr>
          <w:rFonts w:ascii="Arial" w:hAnsi="Arial"/>
          <w:lang w:val="pl-PL"/>
        </w:rPr>
      </w:pPr>
    </w:p>
    <w:p w14:paraId="682DECD0" w14:textId="77777777" w:rsidR="00E0762F" w:rsidRPr="009103CA" w:rsidRDefault="00E0762F">
      <w:pPr>
        <w:pStyle w:val="Bodytext30"/>
        <w:shd w:val="clear" w:color="auto" w:fill="auto"/>
        <w:spacing w:after="80"/>
        <w:jc w:val="both"/>
        <w:rPr>
          <w:rFonts w:ascii="Arial" w:hAnsi="Arial"/>
          <w:lang w:val="pl-PL"/>
        </w:rPr>
      </w:pPr>
    </w:p>
    <w:p w14:paraId="50049A53" w14:textId="77777777" w:rsidR="00E0762F" w:rsidRPr="009103CA" w:rsidRDefault="00E0762F">
      <w:pPr>
        <w:pStyle w:val="Bodytext30"/>
        <w:shd w:val="clear" w:color="auto" w:fill="auto"/>
        <w:spacing w:after="80"/>
        <w:jc w:val="both"/>
        <w:rPr>
          <w:rFonts w:ascii="Arial" w:hAnsi="Arial"/>
          <w:lang w:val="pl-PL"/>
        </w:rPr>
      </w:pPr>
    </w:p>
    <w:p w14:paraId="51CCA4DC" w14:textId="77777777" w:rsidR="00E0762F" w:rsidRPr="009103CA" w:rsidRDefault="00E0762F">
      <w:pPr>
        <w:pStyle w:val="Bodytext30"/>
        <w:shd w:val="clear" w:color="auto" w:fill="auto"/>
        <w:spacing w:after="80"/>
        <w:jc w:val="both"/>
        <w:rPr>
          <w:rFonts w:ascii="Arial" w:hAnsi="Arial"/>
          <w:lang w:val="pl-PL"/>
        </w:rPr>
      </w:pPr>
    </w:p>
    <w:p w14:paraId="75A39855" w14:textId="77777777" w:rsidR="00E0762F" w:rsidRPr="009103CA" w:rsidRDefault="00E0762F">
      <w:pPr>
        <w:pStyle w:val="Bodytext30"/>
        <w:shd w:val="clear" w:color="auto" w:fill="auto"/>
        <w:spacing w:after="80"/>
        <w:jc w:val="both"/>
        <w:rPr>
          <w:rFonts w:ascii="Arial" w:hAnsi="Arial"/>
          <w:lang w:val="pl-PL"/>
        </w:rPr>
      </w:pPr>
    </w:p>
    <w:p w14:paraId="7C791C73" w14:textId="77777777" w:rsidR="00E0762F" w:rsidRPr="009103CA" w:rsidRDefault="00E0762F">
      <w:pPr>
        <w:pStyle w:val="Bodytext30"/>
        <w:shd w:val="clear" w:color="auto" w:fill="auto"/>
        <w:spacing w:after="80"/>
        <w:jc w:val="both"/>
        <w:rPr>
          <w:rFonts w:ascii="Arial" w:hAnsi="Arial"/>
          <w:lang w:val="pl-PL"/>
        </w:rPr>
      </w:pPr>
    </w:p>
    <w:p w14:paraId="45841ACA" w14:textId="5F2B63B5" w:rsidR="00255583" w:rsidRDefault="00000000">
      <w:pPr>
        <w:pStyle w:val="Bodytext30"/>
        <w:shd w:val="clear" w:color="auto" w:fill="auto"/>
        <w:spacing w:after="80"/>
        <w:jc w:val="both"/>
      </w:pPr>
      <w:r w:rsidRPr="00E0762F">
        <w:rPr>
          <w:rFonts w:ascii="Arial" w:hAnsi="Arial"/>
        </w:rPr>
        <w:t xml:space="preserve">© </w:t>
      </w:r>
      <w:r w:rsidRPr="00E0762F">
        <w:t>2021 Shanghai United Imaging Healthcare Co. Ltd.</w:t>
      </w:r>
    </w:p>
    <w:p w14:paraId="78048E99" w14:textId="77777777" w:rsidR="00255583" w:rsidRPr="00E0762F" w:rsidRDefault="00000000">
      <w:pPr>
        <w:pStyle w:val="Bodytext30"/>
        <w:shd w:val="clear" w:color="auto" w:fill="auto"/>
        <w:spacing w:after="280"/>
        <w:jc w:val="both"/>
        <w:rPr>
          <w:lang w:val="pl-PL"/>
        </w:rPr>
        <w:sectPr w:rsidR="00255583" w:rsidRPr="00E0762F">
          <w:headerReference w:type="default" r:id="rId9"/>
          <w:footerReference w:type="default" r:id="rId10"/>
          <w:pgSz w:w="11900" w:h="16840"/>
          <w:pgMar w:top="1753" w:right="724" w:bottom="1321" w:left="785" w:header="0" w:footer="3" w:gutter="0"/>
          <w:pgNumType w:start="1"/>
          <w:cols w:space="720"/>
          <w:noEndnote/>
          <w:docGrid w:linePitch="360"/>
        </w:sectPr>
      </w:pPr>
      <w:r>
        <w:rPr>
          <w:lang w:val="pl"/>
        </w:rPr>
        <w:t>Niniejszy materiał nie jest przeznaczony do wykorzystania jako profesjonalna porada o charakterze księgowym, podatkowym lub innym. W celu uzyskania konkretnej porady należy zwrócić się do swoich doradców.</w:t>
      </w:r>
    </w:p>
    <w:p w14:paraId="31828140" w14:textId="77777777" w:rsidR="00E0762F" w:rsidRDefault="00E0762F">
      <w:pPr>
        <w:rPr>
          <w:rFonts w:ascii="Arial Narrow" w:eastAsia="Arial Narrow" w:hAnsi="Arial Narrow" w:cs="Arial Narrow"/>
          <w:b/>
          <w:bCs/>
          <w:sz w:val="40"/>
          <w:szCs w:val="40"/>
          <w:lang w:val="pl"/>
        </w:rPr>
      </w:pPr>
      <w:bookmarkStart w:id="14" w:name="bookmark15"/>
      <w:bookmarkStart w:id="15" w:name="bookmark14"/>
      <w:r>
        <w:rPr>
          <w:lang w:val="pl"/>
        </w:rPr>
        <w:br w:type="page"/>
      </w:r>
    </w:p>
    <w:p w14:paraId="61DF6DE7" w14:textId="5092F9B5" w:rsidR="00255583" w:rsidRPr="005E1236" w:rsidRDefault="00000000">
      <w:pPr>
        <w:pStyle w:val="Heading10"/>
        <w:keepNext/>
        <w:keepLines/>
        <w:shd w:val="clear" w:color="auto" w:fill="auto"/>
        <w:spacing w:after="80"/>
      </w:pPr>
      <w:r>
        <w:rPr>
          <w:lang w:val="pl"/>
        </w:rPr>
        <w:lastRenderedPageBreak/>
        <w:t>Potwierdzenie zapoznania się</w:t>
      </w:r>
      <w:bookmarkEnd w:id="14"/>
      <w:bookmarkEnd w:id="15"/>
    </w:p>
    <w:p w14:paraId="53882D87" w14:textId="77777777" w:rsidR="00255583" w:rsidRPr="005E1236" w:rsidRDefault="00000000">
      <w:pPr>
        <w:pStyle w:val="Heading10"/>
        <w:keepNext/>
        <w:keepLines/>
        <w:shd w:val="clear" w:color="auto" w:fill="auto"/>
        <w:spacing w:after="960"/>
      </w:pPr>
      <w:bookmarkStart w:id="16" w:name="bookmark17"/>
      <w:bookmarkStart w:id="17" w:name="bookmark16"/>
      <w:r>
        <w:rPr>
          <w:lang w:val="pl"/>
        </w:rPr>
        <w:t>z Zasadami etycznymi i zgodności z przepisami dla dostawców</w:t>
      </w:r>
      <w:bookmarkEnd w:id="16"/>
      <w:bookmarkEnd w:id="17"/>
    </w:p>
    <w:p w14:paraId="2A47827D" w14:textId="77777777" w:rsidR="00255583" w:rsidRPr="00E0762F" w:rsidRDefault="00000000" w:rsidP="00E0762F">
      <w:pPr>
        <w:pStyle w:val="Bodytext20"/>
        <w:shd w:val="clear" w:color="auto" w:fill="auto"/>
        <w:spacing w:after="320" w:line="20" w:lineRule="atLeast"/>
        <w:rPr>
          <w:sz w:val="20"/>
          <w:szCs w:val="20"/>
          <w:lang w:val="pl-PL"/>
        </w:rPr>
      </w:pPr>
      <w:r>
        <w:rPr>
          <w:lang w:val="pl"/>
        </w:rPr>
        <w:t>Będąc odpowiednio umocowany(a) do tego, niniejszym zaświadczam w imieniu mojej firmy lub instytucji, że:</w:t>
      </w:r>
    </w:p>
    <w:p w14:paraId="1465C536" w14:textId="77777777" w:rsidR="00255583" w:rsidRPr="00E0762F" w:rsidRDefault="00000000" w:rsidP="00E0762F">
      <w:pPr>
        <w:pStyle w:val="Bodytext20"/>
        <w:numPr>
          <w:ilvl w:val="0"/>
          <w:numId w:val="7"/>
        </w:numPr>
        <w:shd w:val="clear" w:color="auto" w:fill="auto"/>
        <w:tabs>
          <w:tab w:val="left" w:pos="403"/>
        </w:tabs>
        <w:spacing w:after="80" w:line="20" w:lineRule="atLeast"/>
        <w:rPr>
          <w:lang w:val="pl-PL"/>
        </w:rPr>
      </w:pPr>
      <w:r>
        <w:rPr>
          <w:lang w:val="pl"/>
        </w:rPr>
        <w:t>Otrzymaliśmy, przeczytaliśmy oraz w pełni rozumiemy Zasady etyczne i zgodności z przepisami dla dostawców („Zasady”).</w:t>
      </w:r>
    </w:p>
    <w:p w14:paraId="1F4B6D41" w14:textId="77777777" w:rsidR="00255583" w:rsidRPr="00E0762F" w:rsidRDefault="00000000" w:rsidP="00E0762F">
      <w:pPr>
        <w:pStyle w:val="Bodytext20"/>
        <w:numPr>
          <w:ilvl w:val="0"/>
          <w:numId w:val="7"/>
        </w:numPr>
        <w:shd w:val="clear" w:color="auto" w:fill="auto"/>
        <w:tabs>
          <w:tab w:val="left" w:pos="403"/>
        </w:tabs>
        <w:spacing w:after="180" w:line="20" w:lineRule="atLeast"/>
        <w:ind w:left="460" w:hanging="460"/>
        <w:jc w:val="both"/>
        <w:rPr>
          <w:lang w:val="pl-PL"/>
        </w:rPr>
      </w:pPr>
      <w:r>
        <w:rPr>
          <w:lang w:val="pl"/>
        </w:rPr>
        <w:t>Podejmiemy środki w celu przyjęcia i przestrzegania standardów określonych w Zasadach, w tym przeprowadzimy szkolenia i działania uświadamiające skierowane do naszych dyrektorów, członków kierownictwa, pracowników, kontrahentów, partnerów biznesowych oraz podmiotów stowarzyszonych w zakresie kontaktów biznesowych z UIH.</w:t>
      </w:r>
    </w:p>
    <w:p w14:paraId="2BAB18C7" w14:textId="77777777" w:rsidR="00255583" w:rsidRPr="00E0762F" w:rsidRDefault="00000000" w:rsidP="00E0762F">
      <w:pPr>
        <w:pStyle w:val="Bodytext20"/>
        <w:numPr>
          <w:ilvl w:val="0"/>
          <w:numId w:val="7"/>
        </w:numPr>
        <w:shd w:val="clear" w:color="auto" w:fill="auto"/>
        <w:tabs>
          <w:tab w:val="left" w:pos="403"/>
        </w:tabs>
        <w:spacing w:line="20" w:lineRule="atLeast"/>
        <w:ind w:left="459" w:hanging="459"/>
        <w:jc w:val="both"/>
        <w:rPr>
          <w:lang w:val="pl-PL"/>
        </w:rPr>
      </w:pPr>
      <w:r>
        <w:rPr>
          <w:lang w:val="pl"/>
        </w:rPr>
        <w:t>Przyjmujemy do wiadomości, że przestrzeganie Zasad jest wymagane w celu utrzymania statusu naszej firmy/instytucji jako Dostawcy UIH.</w:t>
      </w:r>
    </w:p>
    <w:p w14:paraId="5DE24CAE" w14:textId="77777777" w:rsidR="00255583" w:rsidRPr="00E0762F" w:rsidRDefault="00000000">
      <w:pPr>
        <w:pStyle w:val="Bodytext20"/>
        <w:shd w:val="clear" w:color="auto" w:fill="auto"/>
        <w:spacing w:after="880" w:line="276" w:lineRule="auto"/>
        <w:jc w:val="both"/>
        <w:rPr>
          <w:lang w:val="pl-PL"/>
        </w:rPr>
      </w:pPr>
      <w:r>
        <w:rPr>
          <w:lang w:val="pl"/>
        </w:rPr>
        <w:t>Niniejsze potwierdzenie może zostać sporządzone w dwóch lub więcej egzemplarzach, z których każdy będzie uważany za oryginał, lecz wszystkie razem będą stanowić jeden i ten sam dokument. Dostarczenie strony z podpisami faksem lub w inny sposób drogą elektroniczną (w tym jako dokumentu w formacie Adobe PDF) będzie równie skuteczne jak dostarczenie ręcznie podpisanego egzemplarza niniejszego potwierdzenia.</w:t>
      </w:r>
    </w:p>
    <w:p w14:paraId="4DA48680" w14:textId="77777777" w:rsidR="00255583" w:rsidRPr="00E0762F" w:rsidRDefault="00000000">
      <w:pPr>
        <w:pStyle w:val="Bodytext20"/>
        <w:shd w:val="clear" w:color="auto" w:fill="auto"/>
        <w:tabs>
          <w:tab w:val="left" w:leader="underscore" w:pos="6907"/>
        </w:tabs>
        <w:rPr>
          <w:lang w:val="pl-PL"/>
        </w:rPr>
      </w:pPr>
      <w:r>
        <w:rPr>
          <w:lang w:val="pl"/>
        </w:rPr>
        <w:t xml:space="preserve">Nazwa firmy/instytucji: </w:t>
      </w:r>
      <w:r>
        <w:rPr>
          <w:lang w:val="pl"/>
        </w:rPr>
        <w:tab/>
      </w:r>
    </w:p>
    <w:p w14:paraId="3BC8CDCB" w14:textId="77777777" w:rsidR="00255583" w:rsidRPr="00E0762F" w:rsidRDefault="00000000">
      <w:pPr>
        <w:pStyle w:val="Bodytext20"/>
        <w:shd w:val="clear" w:color="auto" w:fill="auto"/>
        <w:tabs>
          <w:tab w:val="left" w:leader="underscore" w:pos="6437"/>
        </w:tabs>
        <w:rPr>
          <w:lang w:val="pl-PL"/>
        </w:rPr>
      </w:pPr>
      <w:r>
        <w:rPr>
          <w:lang w:val="pl"/>
        </w:rPr>
        <w:t xml:space="preserve">Podpis osoby upoważnionej: </w:t>
      </w:r>
      <w:r>
        <w:rPr>
          <w:lang w:val="pl"/>
        </w:rPr>
        <w:tab/>
      </w:r>
    </w:p>
    <w:p w14:paraId="218BB0CD" w14:textId="77777777" w:rsidR="00255583" w:rsidRDefault="00000000">
      <w:pPr>
        <w:pStyle w:val="Bodytext20"/>
        <w:shd w:val="clear" w:color="auto" w:fill="auto"/>
        <w:tabs>
          <w:tab w:val="left" w:leader="underscore" w:pos="5880"/>
        </w:tabs>
      </w:pPr>
      <w:r>
        <w:rPr>
          <w:lang w:val="pl"/>
        </w:rPr>
        <w:t xml:space="preserve">Stanowisko/tytuł: </w:t>
      </w:r>
      <w:r>
        <w:rPr>
          <w:lang w:val="pl"/>
        </w:rPr>
        <w:tab/>
      </w:r>
    </w:p>
    <w:p w14:paraId="070A69F7" w14:textId="77777777" w:rsidR="00255583" w:rsidRDefault="00000000">
      <w:pPr>
        <w:pStyle w:val="Bodytext20"/>
        <w:shd w:val="clear" w:color="auto" w:fill="auto"/>
        <w:tabs>
          <w:tab w:val="left" w:leader="underscore" w:pos="5453"/>
        </w:tabs>
      </w:pPr>
      <w:r>
        <w:rPr>
          <w:lang w:val="pl"/>
        </w:rPr>
        <w:t xml:space="preserve">Data: </w:t>
      </w:r>
      <w:r>
        <w:rPr>
          <w:lang w:val="pl"/>
        </w:rPr>
        <w:tab/>
      </w:r>
    </w:p>
    <w:sectPr w:rsidR="00255583">
      <w:headerReference w:type="default" r:id="rId11"/>
      <w:footerReference w:type="default" r:id="rId12"/>
      <w:type w:val="continuous"/>
      <w:pgSz w:w="11900" w:h="16840"/>
      <w:pgMar w:top="1753" w:right="724" w:bottom="1321" w:left="7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2C50" w14:textId="77777777" w:rsidR="00D9120D" w:rsidRDefault="00D9120D">
      <w:r>
        <w:separator/>
      </w:r>
    </w:p>
  </w:endnote>
  <w:endnote w:type="continuationSeparator" w:id="0">
    <w:p w14:paraId="2306D8BE" w14:textId="77777777" w:rsidR="00D9120D" w:rsidRDefault="00D9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1CCD" w14:textId="77777777" w:rsidR="00255583" w:rsidRDefault="00000000">
    <w:pPr>
      <w:spacing w:line="1" w:lineRule="exact"/>
    </w:pPr>
    <w:r>
      <w:rPr>
        <w:noProof/>
        <w:lang w:val="pl"/>
      </w:rPr>
      <mc:AlternateContent>
        <mc:Choice Requires="wps">
          <w:drawing>
            <wp:anchor distT="0" distB="0" distL="0" distR="0" simplePos="0" relativeHeight="62914694" behindDoc="1" locked="0" layoutInCell="1" allowOverlap="1" wp14:anchorId="0C1E5E2A" wp14:editId="040F2C02">
              <wp:simplePos x="0" y="0"/>
              <wp:positionH relativeFrom="page">
                <wp:posOffset>6802755</wp:posOffset>
              </wp:positionH>
              <wp:positionV relativeFrom="page">
                <wp:posOffset>10019030</wp:posOffset>
              </wp:positionV>
              <wp:extent cx="204470"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204470" cy="118745"/>
                      </a:xfrm>
                      <a:prstGeom prst="rect">
                        <a:avLst/>
                      </a:prstGeom>
                      <a:noFill/>
                    </wps:spPr>
                    <wps:txbx>
                      <w:txbxContent>
                        <w:p w14:paraId="10F465E0" w14:textId="0A7CDBF5" w:rsidR="00255583" w:rsidRDefault="00000000">
                          <w:pPr>
                            <w:pStyle w:val="Headerorfooter20"/>
                            <w:shd w:val="clear" w:color="auto" w:fill="auto"/>
                            <w:rPr>
                              <w:sz w:val="18"/>
                              <w:szCs w:val="18"/>
                            </w:rPr>
                          </w:pPr>
                          <w:r>
                            <w:rPr>
                              <w:lang w:val="pl"/>
                            </w:rPr>
                            <w:fldChar w:fldCharType="begin"/>
                          </w:r>
                          <w:r>
                            <w:rPr>
                              <w:lang w:val="pl"/>
                            </w:rPr>
                            <w:instrText xml:space="preserve"> PAGE \* MERGEFORMAT </w:instrText>
                          </w:r>
                          <w:r>
                            <w:rPr>
                              <w:lang w:val="pl"/>
                            </w:rPr>
                            <w:fldChar w:fldCharType="separate"/>
                          </w:r>
                          <w:r>
                            <w:rPr>
                              <w:b/>
                              <w:bCs/>
                              <w:sz w:val="18"/>
                              <w:szCs w:val="18"/>
                              <w:lang w:val="pl"/>
                            </w:rPr>
                            <w:t>#</w:t>
                          </w:r>
                          <w:r>
                            <w:rPr>
                              <w:sz w:val="18"/>
                              <w:szCs w:val="18"/>
                              <w:lang w:val="pl"/>
                            </w:rPr>
                            <w:fldChar w:fldCharType="end"/>
                          </w:r>
                          <w:r>
                            <w:rPr>
                              <w:sz w:val="18"/>
                              <w:szCs w:val="18"/>
                              <w:lang w:val="pl"/>
                            </w:rPr>
                            <w:t>/</w:t>
                          </w:r>
                          <w:r w:rsidR="00E0762F">
                            <w:rPr>
                              <w:b/>
                              <w:bCs/>
                              <w:sz w:val="18"/>
                              <w:szCs w:val="18"/>
                              <w:lang w:val="pl"/>
                            </w:rPr>
                            <w:t>5</w:t>
                          </w:r>
                        </w:p>
                      </w:txbxContent>
                    </wps:txbx>
                    <wps:bodyPr wrap="none" lIns="0" tIns="0" rIns="0" bIns="0">
                      <a:spAutoFit/>
                    </wps:bodyPr>
                  </wps:wsp>
                </a:graphicData>
              </a:graphic>
            </wp:anchor>
          </w:drawing>
        </mc:Choice>
        <mc:Fallback>
          <w:pict>
            <v:shapetype w14:anchorId="0C1E5E2A" id="_x0000_t202" coordsize="21600,21600" o:spt="202" path="m,l,21600r21600,l21600,xe">
              <v:stroke joinstyle="miter"/>
              <v:path gradientshapeok="t" o:connecttype="rect"/>
            </v:shapetype>
            <v:shape id="Shape 5" o:spid="_x0000_s1028" type="#_x0000_t202" style="position:absolute;margin-left:535.65pt;margin-top:788.9pt;width:16.1pt;height:9.3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d8hQEAAAYDAAAOAAAAZHJzL2Uyb0RvYy54bWysUttOwzAMfUfiH6K8s3bTuKhah0BoCAkB&#10;EvABWZqskZo4irO1+3uc7IbgDfHiOnZ6zvFxZreD7dhGBTTgaj4elZwpJ6ExblXzz4/FxQ1nGIVr&#10;RAdO1XyrkN/Oz89mva/UBFroGhUYgTisel/zNkZfFQXKVlmBI/DKUVNDsCLSMayKJoie0G1XTMry&#10;qughND6AVIhUfdg1+Tzja61kfNUaVWRdzUlbzDHkuEyxmM9EtQrCt0buZYg/qLDCOCI9Qj2IKNg6&#10;mF9Q1sgACDqOJNgCtDZS5RlomnH5Y5r3VniVZyFz0B9twv+DlS+bd/8WWBzuYaAFJkN6jxVSMc0z&#10;6GDTl5Qy6pOF26NtaohMUnFSTqfX1JHUGo9vrqeXCaU4/ewDxkcFlqWk5oG2ks0Sm2eMu6uHK4nL&#10;wcJ0XaqflKQsDsuBmYYIDyqX0GxJfE/7q7mjB8ZZ9+TInrTqQxIOyXKfJA70d+tIPJk+ge+g9pxk&#10;dh5g/zDSNr+f863T851/AQAA//8DAFBLAwQUAAYACAAAACEAsfdqYeAAAAAPAQAADwAAAGRycy9k&#10;b3ducmV2LnhtbEyPzU7DMBCE70i8g7VI3KgdqjQljVOhSly4URASNzfeJlH9E9lumrw9mxPcdnZH&#10;s99U+8kaNmKIvXcSspUAhq7xunethK/Pt6ctsJiU08p4hxJmjLCv7+8qVWp/cx84HlPLKMTFUkno&#10;UhpKzmPToVVx5Qd0dDv7YFUiGVqug7pRuDX8WYgNt6p39KFTAx46bC7Hq5VQTN8eh4gH/DmPTej6&#10;eWveZykfH6bXHbCEU/ozw4JP6FAT08lfnY7MkBZFtiYvTXlRUIvFk4l1Duy07F42OfC64v971L8A&#10;AAD//wMAUEsBAi0AFAAGAAgAAAAhALaDOJL+AAAA4QEAABMAAAAAAAAAAAAAAAAAAAAAAFtDb250&#10;ZW50X1R5cGVzXS54bWxQSwECLQAUAAYACAAAACEAOP0h/9YAAACUAQAACwAAAAAAAAAAAAAAAAAv&#10;AQAAX3JlbHMvLnJlbHNQSwECLQAUAAYACAAAACEA2uQHfIUBAAAGAwAADgAAAAAAAAAAAAAAAAAu&#10;AgAAZHJzL2Uyb0RvYy54bWxQSwECLQAUAAYACAAAACEAsfdqYeAAAAAPAQAADwAAAAAAAAAAAAAA&#10;AADfAwAAZHJzL2Rvd25yZXYueG1sUEsFBgAAAAAEAAQA8wAAAOwEAAAAAA==&#10;" filled="f" stroked="f">
              <v:textbox style="mso-fit-shape-to-text:t" inset="0,0,0,0">
                <w:txbxContent>
                  <w:p w14:paraId="10F465E0" w14:textId="0A7CDBF5" w:rsidR="00255583" w:rsidRDefault="00000000">
                    <w:pPr>
                      <w:pStyle w:val="Headerorfooter20"/>
                      <w:shd w:val="clear" w:color="auto" w:fill="auto"/>
                      <w:rPr>
                        <w:sz w:val="18"/>
                        <w:szCs w:val="18"/>
                      </w:rPr>
                    </w:pPr>
                    <w:r>
                      <w:rPr>
                        <w:lang w:val="pl"/>
                      </w:rPr>
                      <w:fldChar w:fldCharType="begin"/>
                    </w:r>
                    <w:r>
                      <w:rPr>
                        <w:lang w:val="pl"/>
                      </w:rPr>
                      <w:instrText xml:space="preserve"> PAGE \* MERGEFORMAT </w:instrText>
                    </w:r>
                    <w:r>
                      <w:rPr>
                        <w:lang w:val="pl"/>
                      </w:rPr>
                      <w:fldChar w:fldCharType="separate"/>
                    </w:r>
                    <w:r>
                      <w:rPr>
                        <w:b/>
                        <w:bCs/>
                        <w:sz w:val="18"/>
                        <w:szCs w:val="18"/>
                        <w:lang w:val="pl"/>
                      </w:rPr>
                      <w:t>#</w:t>
                    </w:r>
                    <w:r>
                      <w:rPr>
                        <w:sz w:val="18"/>
                        <w:szCs w:val="18"/>
                        <w:lang w:val="pl"/>
                      </w:rPr>
                      <w:fldChar w:fldCharType="end"/>
                    </w:r>
                    <w:r>
                      <w:rPr>
                        <w:sz w:val="18"/>
                        <w:szCs w:val="18"/>
                        <w:lang w:val="pl"/>
                      </w:rPr>
                      <w:t>/</w:t>
                    </w:r>
                    <w:r w:rsidR="00E0762F">
                      <w:rPr>
                        <w:b/>
                        <w:bCs/>
                        <w:sz w:val="18"/>
                        <w:szCs w:val="18"/>
                        <w:lang w:val="pl"/>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87B3" w14:textId="77777777" w:rsidR="00255583" w:rsidRDefault="00000000">
    <w:pPr>
      <w:spacing w:line="1" w:lineRule="exact"/>
    </w:pPr>
    <w:r>
      <w:rPr>
        <w:noProof/>
        <w:lang w:val="pl"/>
      </w:rPr>
      <mc:AlternateContent>
        <mc:Choice Requires="wps">
          <w:drawing>
            <wp:anchor distT="0" distB="0" distL="0" distR="0" simplePos="0" relativeHeight="62914700" behindDoc="1" locked="0" layoutInCell="1" allowOverlap="1" wp14:anchorId="00B95994" wp14:editId="61AE2B86">
              <wp:simplePos x="0" y="0"/>
              <wp:positionH relativeFrom="page">
                <wp:posOffset>6819900</wp:posOffset>
              </wp:positionH>
              <wp:positionV relativeFrom="page">
                <wp:posOffset>10019030</wp:posOffset>
              </wp:positionV>
              <wp:extent cx="204470"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204470" cy="118745"/>
                      </a:xfrm>
                      <a:prstGeom prst="rect">
                        <a:avLst/>
                      </a:prstGeom>
                      <a:noFill/>
                    </wps:spPr>
                    <wps:txbx>
                      <w:txbxContent>
                        <w:p w14:paraId="6EBBF68B" w14:textId="472C5E32" w:rsidR="00255583" w:rsidRDefault="00000000">
                          <w:pPr>
                            <w:pStyle w:val="Headerorfooter20"/>
                            <w:shd w:val="clear" w:color="auto" w:fill="auto"/>
                            <w:rPr>
                              <w:sz w:val="18"/>
                              <w:szCs w:val="18"/>
                            </w:rPr>
                          </w:pPr>
                          <w:r>
                            <w:rPr>
                              <w:lang w:val="pl"/>
                            </w:rPr>
                            <w:fldChar w:fldCharType="begin"/>
                          </w:r>
                          <w:r>
                            <w:rPr>
                              <w:lang w:val="pl"/>
                            </w:rPr>
                            <w:instrText xml:space="preserve"> PAGE \* MERGEFORMAT </w:instrText>
                          </w:r>
                          <w:r>
                            <w:rPr>
                              <w:lang w:val="pl"/>
                            </w:rPr>
                            <w:fldChar w:fldCharType="separate"/>
                          </w:r>
                          <w:r>
                            <w:rPr>
                              <w:b/>
                              <w:bCs/>
                              <w:sz w:val="18"/>
                              <w:szCs w:val="18"/>
                              <w:lang w:val="pl"/>
                            </w:rPr>
                            <w:t>#</w:t>
                          </w:r>
                          <w:r>
                            <w:rPr>
                              <w:sz w:val="18"/>
                              <w:szCs w:val="18"/>
                              <w:lang w:val="pl"/>
                            </w:rPr>
                            <w:fldChar w:fldCharType="end"/>
                          </w:r>
                          <w:r>
                            <w:rPr>
                              <w:sz w:val="18"/>
                              <w:szCs w:val="18"/>
                              <w:lang w:val="pl"/>
                            </w:rPr>
                            <w:t>/</w:t>
                          </w:r>
                          <w:r w:rsidR="00E0762F">
                            <w:rPr>
                              <w:b/>
                              <w:bCs/>
                              <w:sz w:val="18"/>
                              <w:szCs w:val="18"/>
                              <w:lang w:val="pl"/>
                            </w:rPr>
                            <w:t>5</w:t>
                          </w:r>
                        </w:p>
                      </w:txbxContent>
                    </wps:txbx>
                    <wps:bodyPr wrap="none" lIns="0" tIns="0" rIns="0" bIns="0">
                      <a:spAutoFit/>
                    </wps:bodyPr>
                  </wps:wsp>
                </a:graphicData>
              </a:graphic>
            </wp:anchor>
          </w:drawing>
        </mc:Choice>
        <mc:Fallback>
          <w:pict>
            <v:shapetype w14:anchorId="00B95994" id="_x0000_t202" coordsize="21600,21600" o:spt="202" path="m,l,21600r21600,l21600,xe">
              <v:stroke joinstyle="miter"/>
              <v:path gradientshapeok="t" o:connecttype="rect"/>
            </v:shapetype>
            <v:shape id="Shape 11" o:spid="_x0000_s1031" type="#_x0000_t202" style="position:absolute;margin-left:537pt;margin-top:788.9pt;width:16.1pt;height:9.3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KNhQEAAAYDAAAOAAAAZHJzL2Uyb0RvYy54bWysUttOwzAMfUfiH6K8s3bTuKhaN4GmISQE&#10;SMAHZGmyRmriKA5r9/c4YRcEb4gX17Hd4+NjzxaD7dhWBTTgaj4elZwpJ6ExblPz97fVxQ1nGIVr&#10;RAdO1XynkC/m52ez3ldqAi10jQqMQBxWva95G6OvigJlq6zAEXjlKKkhWBHpGTZFE0RP6LYrJmV5&#10;VfQQGh9AKkSKLr+SfJ7xtVYyPmuNKrKu5sQtZhuyXSdbzGei2gThWyP3NMQfWFhhHDU9Qi1FFOwj&#10;mF9Q1sgACDqOJNgCtDZS5RlomnH5Y5rXVniVZyFx0B9lwv+DlU/bV/8SWBzuYKAFJkF6jxVSMM0z&#10;6GDTl5gyypOEu6NsaohMUnBSTqfXlJGUGo9vrqeXCaU4/ewDxnsFliWn5oG2ksUS20eMX6WHktTL&#10;wcp0XYqfmCQvDuuBmabmGT9F1tDsiHxP+6u5owPjrHtwJE9a9cEJB2e9d1IP9Lcfkfrk9ieofU8S&#10;Ow+wP4y0ze/vXHU63/knAAAA//8DAFBLAwQUAAYACAAAACEAppIQ7eAAAAAPAQAADwAAAGRycy9k&#10;b3ducmV2LnhtbEyPzU7DMBCE70i8g7VI3KjdiiYlxKlQJS7cKAiJmxtv4wj/RLabJm/P5gS3nd3R&#10;7Hz1fnKWjRhTH7yE9UoAQ98G3ftOwufH68MOWMrKa2WDRwkzJtg3tze1qnS4+nccj7ljFOJTpSSY&#10;nIeK89QadCqtwoCebucQncokY8d1VFcKd5ZvhCi4U72nD0YNeDDY/hwvTkI5fQUcEh7w+zy20fTz&#10;zr7NUt7fTS/PwDJO+c8MS32qDg11OoWL14lZ0qJ8JJhM07YsiWLxrEWxAXZadk/FFnhT8/8czS8A&#10;AAD//wMAUEsBAi0AFAAGAAgAAAAhALaDOJL+AAAA4QEAABMAAAAAAAAAAAAAAAAAAAAAAFtDb250&#10;ZW50X1R5cGVzXS54bWxQSwECLQAUAAYACAAAACEAOP0h/9YAAACUAQAACwAAAAAAAAAAAAAAAAAv&#10;AQAAX3JlbHMvLnJlbHNQSwECLQAUAAYACAAAACEAacACjYUBAAAGAwAADgAAAAAAAAAAAAAAAAAu&#10;AgAAZHJzL2Uyb0RvYy54bWxQSwECLQAUAAYACAAAACEAppIQ7eAAAAAPAQAADwAAAAAAAAAAAAAA&#10;AADfAwAAZHJzL2Rvd25yZXYueG1sUEsFBgAAAAAEAAQA8wAAAOwEAAAAAA==&#10;" filled="f" stroked="f">
              <v:textbox style="mso-fit-shape-to-text:t" inset="0,0,0,0">
                <w:txbxContent>
                  <w:p w14:paraId="6EBBF68B" w14:textId="472C5E32" w:rsidR="00255583" w:rsidRDefault="00000000">
                    <w:pPr>
                      <w:pStyle w:val="Headerorfooter20"/>
                      <w:shd w:val="clear" w:color="auto" w:fill="auto"/>
                      <w:rPr>
                        <w:sz w:val="18"/>
                        <w:szCs w:val="18"/>
                      </w:rPr>
                    </w:pPr>
                    <w:r>
                      <w:rPr>
                        <w:lang w:val="pl"/>
                      </w:rPr>
                      <w:fldChar w:fldCharType="begin"/>
                    </w:r>
                    <w:r>
                      <w:rPr>
                        <w:lang w:val="pl"/>
                      </w:rPr>
                      <w:instrText xml:space="preserve"> PAGE \* MERGEFORMAT </w:instrText>
                    </w:r>
                    <w:r>
                      <w:rPr>
                        <w:lang w:val="pl"/>
                      </w:rPr>
                      <w:fldChar w:fldCharType="separate"/>
                    </w:r>
                    <w:r>
                      <w:rPr>
                        <w:b/>
                        <w:bCs/>
                        <w:sz w:val="18"/>
                        <w:szCs w:val="18"/>
                        <w:lang w:val="pl"/>
                      </w:rPr>
                      <w:t>#</w:t>
                    </w:r>
                    <w:r>
                      <w:rPr>
                        <w:sz w:val="18"/>
                        <w:szCs w:val="18"/>
                        <w:lang w:val="pl"/>
                      </w:rPr>
                      <w:fldChar w:fldCharType="end"/>
                    </w:r>
                    <w:r>
                      <w:rPr>
                        <w:sz w:val="18"/>
                        <w:szCs w:val="18"/>
                        <w:lang w:val="pl"/>
                      </w:rPr>
                      <w:t>/</w:t>
                    </w:r>
                    <w:r w:rsidR="00E0762F">
                      <w:rPr>
                        <w:b/>
                        <w:bCs/>
                        <w:sz w:val="18"/>
                        <w:szCs w:val="18"/>
                        <w:lang w:val="pl"/>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E2B4" w14:textId="77777777" w:rsidR="00D9120D" w:rsidRDefault="00D9120D"/>
  </w:footnote>
  <w:footnote w:type="continuationSeparator" w:id="0">
    <w:p w14:paraId="278B9DD7" w14:textId="77777777" w:rsidR="00D9120D" w:rsidRDefault="00D91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DF3A" w14:textId="77777777" w:rsidR="00255583" w:rsidRDefault="00000000">
    <w:pPr>
      <w:spacing w:line="1" w:lineRule="exact"/>
    </w:pPr>
    <w:r>
      <w:rPr>
        <w:noProof/>
        <w:lang w:val="pl"/>
      </w:rPr>
      <mc:AlternateContent>
        <mc:Choice Requires="wps">
          <w:drawing>
            <wp:anchor distT="0" distB="0" distL="0" distR="0" simplePos="0" relativeHeight="62914690" behindDoc="1" locked="0" layoutInCell="1" allowOverlap="1" wp14:anchorId="3A821F4E" wp14:editId="707CD245">
              <wp:simplePos x="0" y="0"/>
              <wp:positionH relativeFrom="page">
                <wp:posOffset>4360985</wp:posOffset>
              </wp:positionH>
              <wp:positionV relativeFrom="page">
                <wp:posOffset>260252</wp:posOffset>
              </wp:positionV>
              <wp:extent cx="2512695" cy="326390"/>
              <wp:effectExtent l="0" t="0" r="0" b="0"/>
              <wp:wrapNone/>
              <wp:docPr id="1" name="Shape 1"/>
              <wp:cNvGraphicFramePr/>
              <a:graphic xmlns:a="http://schemas.openxmlformats.org/drawingml/2006/main">
                <a:graphicData uri="http://schemas.microsoft.com/office/word/2010/wordprocessingShape">
                  <wps:wsp>
                    <wps:cNvSpPr txBox="1"/>
                    <wps:spPr>
                      <a:xfrm>
                        <a:off x="0" y="0"/>
                        <a:ext cx="2512695" cy="326390"/>
                      </a:xfrm>
                      <a:prstGeom prst="rect">
                        <a:avLst/>
                      </a:prstGeom>
                      <a:noFill/>
                    </wps:spPr>
                    <wps:txbx>
                      <w:txbxContent>
                        <w:p w14:paraId="3A95CEA7" w14:textId="142813CE" w:rsidR="00255583" w:rsidRDefault="00E0762F">
                          <w:pPr>
                            <w:pStyle w:val="Headerorfooter20"/>
                            <w:shd w:val="clear" w:color="auto" w:fill="auto"/>
                            <w:rPr>
                              <w:sz w:val="30"/>
                              <w:szCs w:val="30"/>
                            </w:rPr>
                          </w:pPr>
                          <w:r>
                            <w:rPr>
                              <w:noProof/>
                            </w:rPr>
                            <w:drawing>
                              <wp:inline distT="0" distB="0" distL="0" distR="0" wp14:anchorId="608C8081" wp14:editId="092AB753">
                                <wp:extent cx="2180952" cy="523810"/>
                                <wp:effectExtent l="0" t="0" r="0" b="0"/>
                                <wp:docPr id="12" name="Obraz 12"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logo&#10;&#10;Opis wygenerowany automatycznie"/>
                                        <pic:cNvPicPr/>
                                      </pic:nvPicPr>
                                      <pic:blipFill>
                                        <a:blip r:embed="rId1"/>
                                        <a:stretch>
                                          <a:fillRect/>
                                        </a:stretch>
                                      </pic:blipFill>
                                      <pic:spPr>
                                        <a:xfrm>
                                          <a:off x="0" y="0"/>
                                          <a:ext cx="2180952" cy="523810"/>
                                        </a:xfrm>
                                        <a:prstGeom prst="rect">
                                          <a:avLst/>
                                        </a:prstGeom>
                                      </pic:spPr>
                                    </pic:pic>
                                  </a:graphicData>
                                </a:graphic>
                              </wp:inline>
                            </w:drawing>
                          </w:r>
                        </w:p>
                      </w:txbxContent>
                    </wps:txbx>
                    <wps:bodyPr wrap="square" lIns="0" tIns="0" rIns="0" bIns="0">
                      <a:spAutoFit/>
                    </wps:bodyPr>
                  </wps:wsp>
                </a:graphicData>
              </a:graphic>
              <wp14:sizeRelH relativeFrom="margin">
                <wp14:pctWidth>0</wp14:pctWidth>
              </wp14:sizeRelH>
            </wp:anchor>
          </w:drawing>
        </mc:Choice>
        <mc:Fallback>
          <w:pict>
            <v:shapetype w14:anchorId="3A821F4E" id="_x0000_t202" coordsize="21600,21600" o:spt="202" path="m,l,21600r21600,l21600,xe">
              <v:stroke joinstyle="miter"/>
              <v:path gradientshapeok="t" o:connecttype="rect"/>
            </v:shapetype>
            <v:shape id="Shape 1" o:spid="_x0000_s1026" type="#_x0000_t202" style="position:absolute;margin-left:343.4pt;margin-top:20.5pt;width:197.85pt;height:25.7pt;z-index:-44040179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h+iAEAAAIDAAAOAAAAZHJzL2Uyb0RvYy54bWysUsFu2zAMvQ/YPwi6N05cNFiNOEGLosWA&#10;YRvQ7gMUWYoNWKJGKrHz96NUJynWW9ELTZHye4+PWm1G14uDQerA13Ixm0thvIam87ta/nl5vPom&#10;BUXlG9WDN7U8GpKb9dcvqyFUpoQW+sagYBBP1RBq2cYYqqIg3RqnaAbBeG5aQKciH3FXNKgGRnd9&#10;Uc7ny2IAbAKCNkRcfXhtynXGt9bo+MtaMlH0tWRtMUfMcZtisV6paocqtJ2eZKgPqHCq80x6hnpQ&#10;UYk9du+gXKcRCGycaXAFWNtpk2fgaRbz/6Z5blUweRY2h8LZJvo8WP3z8Bx+o4jjPYy8wGTIEKgi&#10;LqZ5RosufVmp4D5beDzbZsYoNBfLm0W5vL2RQnPvulxe32Zfi8vfASk+GXAiJbVEXkt2Sx1+UGRG&#10;vnq6ksg8PHZ9n+oXKSmL43ac9G2hObLsgTdXS/q7V2ik6L97tiat+ZTgKdlOSYKncLePTJGZE+4r&#10;2ETHRmdB06NIm3x7zrcuT3f9DwAA//8DAFBLAwQUAAYACAAAACEAysjr0N4AAAAKAQAADwAAAGRy&#10;cy9kb3ducmV2LnhtbEyPMU/DMBCFdyT+g3VILIg6jkqUpnEqhGBho2Vhc+MjiRqfo9hNQn891wnG&#10;0z1973vlbnG9mHAMnScNapWAQKq97ajR8Hl4e8xBhGjImt4TavjBALvq9qY0hfUzfeC0j41gCIXC&#10;aGhjHAopQ92iM2HlByT+ffvRmcjn2Eg7mpnhrpdpkmTSmY64oTUDvrRYn/ZnpyFbXoeH9w2m86Xu&#10;J/q6KBVRaX1/tzxvQURc4l8YrvqsDhU7Hf2ZbBA9M/KM1aOGteJN10CSp08gjho26RpkVcr/E6pf&#10;AAAA//8DAFBLAQItABQABgAIAAAAIQC2gziS/gAAAOEBAAATAAAAAAAAAAAAAAAAAAAAAABbQ29u&#10;dGVudF9UeXBlc10ueG1sUEsBAi0AFAAGAAgAAAAhADj9If/WAAAAlAEAAAsAAAAAAAAAAAAAAAAA&#10;LwEAAF9yZWxzLy5yZWxzUEsBAi0AFAAGAAgAAAAhAI8sKH6IAQAAAgMAAA4AAAAAAAAAAAAAAAAA&#10;LgIAAGRycy9lMm9Eb2MueG1sUEsBAi0AFAAGAAgAAAAhAMrI69DeAAAACgEAAA8AAAAAAAAAAAAA&#10;AAAA4gMAAGRycy9kb3ducmV2LnhtbFBLBQYAAAAABAAEAPMAAADtBAAAAAA=&#10;" filled="f" stroked="f">
              <v:textbox style="mso-fit-shape-to-text:t" inset="0,0,0,0">
                <w:txbxContent>
                  <w:p w14:paraId="3A95CEA7" w14:textId="142813CE" w:rsidR="00255583" w:rsidRDefault="00E0762F">
                    <w:pPr>
                      <w:pStyle w:val="Headerorfooter20"/>
                      <w:shd w:val="clear" w:color="auto" w:fill="auto"/>
                      <w:rPr>
                        <w:sz w:val="30"/>
                        <w:szCs w:val="30"/>
                      </w:rPr>
                    </w:pPr>
                    <w:r>
                      <w:rPr>
                        <w:noProof/>
                      </w:rPr>
                      <w:drawing>
                        <wp:inline distT="0" distB="0" distL="0" distR="0" wp14:anchorId="608C8081" wp14:editId="092AB753">
                          <wp:extent cx="2180952" cy="523810"/>
                          <wp:effectExtent l="0" t="0" r="0" b="0"/>
                          <wp:docPr id="12" name="Obraz 12"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logo&#10;&#10;Opis wygenerowany automatycznie"/>
                                  <pic:cNvPicPr/>
                                </pic:nvPicPr>
                                <pic:blipFill>
                                  <a:blip r:embed="rId2"/>
                                  <a:stretch>
                                    <a:fillRect/>
                                  </a:stretch>
                                </pic:blipFill>
                                <pic:spPr>
                                  <a:xfrm>
                                    <a:off x="0" y="0"/>
                                    <a:ext cx="2180952" cy="523810"/>
                                  </a:xfrm>
                                  <a:prstGeom prst="rect">
                                    <a:avLst/>
                                  </a:prstGeom>
                                </pic:spPr>
                              </pic:pic>
                            </a:graphicData>
                          </a:graphic>
                        </wp:inline>
                      </w:drawing>
                    </w:r>
                  </w:p>
                </w:txbxContent>
              </v:textbox>
              <w10:wrap anchorx="page" anchory="page"/>
            </v:shape>
          </w:pict>
        </mc:Fallback>
      </mc:AlternateContent>
    </w:r>
    <w:r>
      <w:rPr>
        <w:noProof/>
        <w:lang w:val="pl"/>
      </w:rPr>
      <mc:AlternateContent>
        <mc:Choice Requires="wps">
          <w:drawing>
            <wp:anchor distT="0" distB="0" distL="0" distR="0" simplePos="0" relativeHeight="62914692" behindDoc="1" locked="0" layoutInCell="1" allowOverlap="1" wp14:anchorId="383C77E5" wp14:editId="02D04CC9">
              <wp:simplePos x="0" y="0"/>
              <wp:positionH relativeFrom="page">
                <wp:posOffset>527050</wp:posOffset>
              </wp:positionH>
              <wp:positionV relativeFrom="page">
                <wp:posOffset>539750</wp:posOffset>
              </wp:positionV>
              <wp:extent cx="1051560"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1051560" cy="113030"/>
                      </a:xfrm>
                      <a:prstGeom prst="rect">
                        <a:avLst/>
                      </a:prstGeom>
                      <a:noFill/>
                    </wps:spPr>
                    <wps:txbx>
                      <w:txbxContent>
                        <w:p w14:paraId="626164B0" w14:textId="77777777" w:rsidR="00255583" w:rsidRPr="00E0762F" w:rsidRDefault="00000000">
                          <w:pPr>
                            <w:pStyle w:val="Headerorfooter20"/>
                            <w:shd w:val="clear" w:color="auto" w:fill="auto"/>
                            <w:rPr>
                              <w:sz w:val="14"/>
                              <w:szCs w:val="14"/>
                              <w:lang w:val="pl-PL"/>
                            </w:rPr>
                          </w:pPr>
                          <w:r>
                            <w:rPr>
                              <w:rFonts w:ascii="Arial Narrow" w:eastAsia="Arial Narrow" w:hAnsi="Arial Narrow" w:cs="Arial Narrow"/>
                              <w:color w:val="404040"/>
                              <w:sz w:val="14"/>
                              <w:szCs w:val="14"/>
                              <w:lang w:val="pl"/>
                            </w:rPr>
                            <w:t>Dział Prawny i Zgodności z Przepisami UIH – wersja 3, 2021 r.</w:t>
                          </w:r>
                        </w:p>
                      </w:txbxContent>
                    </wps:txbx>
                    <wps:bodyPr wrap="none" lIns="0" tIns="0" rIns="0" bIns="0">
                      <a:spAutoFit/>
                    </wps:bodyPr>
                  </wps:wsp>
                </a:graphicData>
              </a:graphic>
            </wp:anchor>
          </w:drawing>
        </mc:Choice>
        <mc:Fallback>
          <w:pict>
            <v:shape w14:anchorId="383C77E5" id="Shape 3" o:spid="_x0000_s1027" type="#_x0000_t202" style="position:absolute;margin-left:41.5pt;margin-top:42.5pt;width:82.8pt;height:8.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gwEAAAcDAAAOAAAAZHJzL2Uyb0RvYy54bWysUttKxDAQfRf8h5B3t62yi5TtiiKKICqo&#10;H5BNk22gyYRM3Hb/3kn2ir6JL5NJJjnnzJnMb0bbs7UKaMA1vJqUnCknoTVu1fDPj4eLa84wCteK&#10;Hpxq+EYhv1mcn80HX6tL6KBvVWAE4rAefMO7GH1dFCg7ZQVOwCtHRQ3BikjbsCraIAZCt31xWZaz&#10;YoDQ+gBSIdLp/bbIFxlfayXjq9aoIusbTtpijiHHZYrFYi7qVRC+M3InQ/xBhRXGEekB6l5Ewb6C&#10;+QVljQyAoONEgi1AayNV7oG6qcof3bx3wqvcC5mD/mAT/h+sfFm/+7fA4ngHIw0wGTJ4rJEOUz+j&#10;DjatpJRRnSzcHGxTY2QyPSqn1XRGJUm1qroqr7KvxfG1DxgfFViWkoYHGkt2S6yfMRIjXd1fSWQO&#10;Hkzfp/OjlJTFcTky057IXEK7IfUDDbDhjn4YZ/2TI3/SrPdJ2CfLXZI40N9+ReLJ9Al8C7XjJLez&#10;qt3PSOM83edbx/+7+AYAAP//AwBQSwMEFAAGAAgAAAAhAPMoTZTbAAAACQEAAA8AAABkcnMvZG93&#10;bnJldi54bWxMj8FOwzAQRO9I/IO1SNyoQ4BipXEqVIkLNwpC4ubG2ziqvY5iN03+nuUEp9FqRrNv&#10;6u0cvJhwTH0kDferAgRSG21PnYbPj9c7BSJlQ9b4SKhhwQTb5vqqNpWNF3rHaZ87wSWUKqPB5TxU&#10;UqbWYTBpFQck9o5xDCbzOXbSjubC5cHLsijWMpie+IMzA+4ctqf9OWh4nr8iDgl3+H2c2tH1i/Jv&#10;i9a3N/PLBkTGOf+F4Ref0aFhpkM8k03Ca1APPCWzPrGyXz6qNYgDB4tSgWxq+X9B8wMAAP//AwBQ&#10;SwECLQAUAAYACAAAACEAtoM4kv4AAADhAQAAEwAAAAAAAAAAAAAAAAAAAAAAW0NvbnRlbnRfVHlw&#10;ZXNdLnhtbFBLAQItABQABgAIAAAAIQA4/SH/1gAAAJQBAAALAAAAAAAAAAAAAAAAAC8BAABfcmVs&#10;cy8ucmVsc1BLAQItABQABgAIAAAAIQC/WO+EgwEAAAcDAAAOAAAAAAAAAAAAAAAAAC4CAABkcnMv&#10;ZTJvRG9jLnhtbFBLAQItABQABgAIAAAAIQDzKE2U2wAAAAkBAAAPAAAAAAAAAAAAAAAAAN0DAABk&#10;cnMvZG93bnJldi54bWxQSwUGAAAAAAQABADzAAAA5QQAAAAA&#10;" filled="f" stroked="f">
              <v:textbox style="mso-fit-shape-to-text:t" inset="0,0,0,0">
                <w:txbxContent>
                  <w:p w14:paraId="626164B0" w14:textId="77777777" w:rsidR="00255583" w:rsidRPr="00E0762F" w:rsidRDefault="00000000">
                    <w:pPr>
                      <w:pStyle w:val="Headerorfooter20"/>
                      <w:shd w:val="clear" w:color="auto" w:fill="auto"/>
                      <w:rPr>
                        <w:sz w:val="14"/>
                        <w:szCs w:val="14"/>
                        <w:lang w:val="pl-PL"/>
                      </w:rPr>
                    </w:pPr>
                    <w:r>
                      <w:rPr>
                        <w:rFonts w:ascii="Arial Narrow" w:eastAsia="Arial Narrow" w:hAnsi="Arial Narrow" w:cs="Arial Narrow"/>
                        <w:color w:val="404040"/>
                        <w:sz w:val="14"/>
                        <w:szCs w:val="14"/>
                        <w:lang w:val="pl"/>
                      </w:rPr>
                      <w:t>Dział Prawny i Zgodności z Przepisami UIH – wersja 3, 2021 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F1C4" w14:textId="77777777" w:rsidR="00255583" w:rsidRDefault="00000000">
    <w:pPr>
      <w:spacing w:line="1" w:lineRule="exact"/>
    </w:pPr>
    <w:r>
      <w:rPr>
        <w:noProof/>
        <w:lang w:val="pl"/>
      </w:rPr>
      <mc:AlternateContent>
        <mc:Choice Requires="wps">
          <w:drawing>
            <wp:anchor distT="0" distB="0" distL="0" distR="0" simplePos="0" relativeHeight="62914696" behindDoc="1" locked="0" layoutInCell="1" allowOverlap="1" wp14:anchorId="5517FC6B" wp14:editId="143B6C32">
              <wp:simplePos x="0" y="0"/>
              <wp:positionH relativeFrom="page">
                <wp:posOffset>5299075</wp:posOffset>
              </wp:positionH>
              <wp:positionV relativeFrom="page">
                <wp:posOffset>265430</wp:posOffset>
              </wp:positionV>
              <wp:extent cx="1652270" cy="328930"/>
              <wp:effectExtent l="0" t="0" r="0" b="0"/>
              <wp:wrapNone/>
              <wp:docPr id="7" name="Shape 7"/>
              <wp:cNvGraphicFramePr/>
              <a:graphic xmlns:a="http://schemas.openxmlformats.org/drawingml/2006/main">
                <a:graphicData uri="http://schemas.microsoft.com/office/word/2010/wordprocessingShape">
                  <wps:wsp>
                    <wps:cNvSpPr txBox="1"/>
                    <wps:spPr>
                      <a:xfrm>
                        <a:off x="0" y="0"/>
                        <a:ext cx="1652270" cy="328930"/>
                      </a:xfrm>
                      <a:prstGeom prst="rect">
                        <a:avLst/>
                      </a:prstGeom>
                      <a:noFill/>
                    </wps:spPr>
                    <wps:txbx>
                      <w:txbxContent>
                        <w:p w14:paraId="73D5EEDD" w14:textId="77777777" w:rsidR="00255583" w:rsidRDefault="00000000">
                          <w:pPr>
                            <w:pStyle w:val="Headerorfooter20"/>
                            <w:shd w:val="clear" w:color="auto" w:fill="auto"/>
                            <w:rPr>
                              <w:sz w:val="30"/>
                              <w:szCs w:val="30"/>
                            </w:rPr>
                          </w:pPr>
                          <w:r>
                            <w:rPr>
                              <w:rFonts w:ascii="Arial" w:eastAsia="Arial" w:hAnsi="Arial" w:cs="Arial"/>
                              <w:b/>
                              <w:bCs/>
                              <w:color w:val="08485E"/>
                              <w:sz w:val="30"/>
                              <w:szCs w:val="30"/>
                              <w:lang w:val="pl"/>
                            </w:rPr>
                            <w:t>UNITED IMAGING</w:t>
                          </w:r>
                        </w:p>
                        <w:p w14:paraId="7139825A" w14:textId="77777777" w:rsidR="00255583" w:rsidRDefault="00255583">
                          <w:pPr>
                            <w:pStyle w:val="Headerorfooter20"/>
                            <w:shd w:val="clear" w:color="auto" w:fill="auto"/>
                            <w:rPr>
                              <w:sz w:val="30"/>
                              <w:szCs w:val="30"/>
                            </w:rPr>
                          </w:pPr>
                        </w:p>
                      </w:txbxContent>
                    </wps:txbx>
                    <wps:bodyPr wrap="none" lIns="0" tIns="0" rIns="0" bIns="0">
                      <a:spAutoFit/>
                    </wps:bodyPr>
                  </wps:wsp>
                </a:graphicData>
              </a:graphic>
            </wp:anchor>
          </w:drawing>
        </mc:Choice>
        <mc:Fallback>
          <w:pict>
            <v:shapetype w14:anchorId="5517FC6B" id="_x0000_t202" coordsize="21600,21600" o:spt="202" path="m,l,21600r21600,l21600,xe">
              <v:stroke joinstyle="miter"/>
              <v:path gradientshapeok="t" o:connecttype="rect"/>
            </v:shapetype>
            <v:shape id="Shape 7" o:spid="_x0000_s1029" type="#_x0000_t202" style="position:absolute;margin-left:417.25pt;margin-top:20.9pt;width:130.1pt;height:25.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6rhgEAAAcDAAAOAAAAZHJzL2Uyb0RvYy54bWysUttOAyEQfTfxHwjvdusaa910azRGY2LU&#10;RP0AykKXZGEIQ7vbv3egN6NvxpdhYOCcM2eY3Qy2Y2sV0ICr+flozJlyEhrjljX//Hg4m3KGUbhG&#10;dOBUzTcK+c389GTW+0qV0ELXqMAIxGHV+5q3MfqqKFC2ygocgVeOihqCFZG2YVk0QfSEbruiHI8n&#10;RQ+h8QGkQqTT+22RzzO+1krGV61RRdbVnLTFHEOOixSL+UxUyyB8a+ROhviDCiuMI9ID1L2Igq2C&#10;+QVljQyAoONIgi1AayNV7oG6OR//6Oa9FV7lXsgc9Aeb8P9g5cv63b8FFoc7GGiAyZDeY4V0mPoZ&#10;dLBpJaWM6mTh5mCbGiKT6dHksiyvqCSpdlFOry+yr8XxtQ8YHxVYlpKaBxpLdkusnzESI13dX0lk&#10;Dh5M16Xzo5SUxWExMNMQyV7mApoNqe9pgDV39MM4654c+ZNmvU/CPlnsksSB/nYViSfTJ/At1I6T&#10;3M6qdj8jjfP7Pt86/t/5FwAAAP//AwBQSwMEFAAGAAgAAAAhAMtH/xbeAAAACgEAAA8AAABkcnMv&#10;ZG93bnJldi54bWxMj8FOwzAQRO9I/IO1SNyoUxraNGRToUpcuFEQEjc33sYR9jqK3TT5e9wTHFf7&#10;NPOm2k3OipGG0HlGWC4yEMSN1x23CJ8frw8FiBAVa2U9E8JMAXb17U2lSu0v/E7jIbYihXAoFYKJ&#10;sS+lDI0hp8LC98Tpd/KDUzGdQyv1oC4p3Fn5mGVr6VTHqcGonvaGmp/D2SFspi9PfaA9fZ/GZjDd&#10;XNi3GfH+bnp5BhFpin8wXPWTOtTJ6ejPrIOwCMUqf0ooQr5ME65Ats03II4I29UaZF3J/xPqXwAA&#10;AP//AwBQSwECLQAUAAYACAAAACEAtoM4kv4AAADhAQAAEwAAAAAAAAAAAAAAAAAAAAAAW0NvbnRl&#10;bnRfVHlwZXNdLnhtbFBLAQItABQABgAIAAAAIQA4/SH/1gAAAJQBAAALAAAAAAAAAAAAAAAAAC8B&#10;AABfcmVscy8ucmVsc1BLAQItABQABgAIAAAAIQDhIo6rhgEAAAcDAAAOAAAAAAAAAAAAAAAAAC4C&#10;AABkcnMvZTJvRG9jLnhtbFBLAQItABQABgAIAAAAIQDLR/8W3gAAAAoBAAAPAAAAAAAAAAAAAAAA&#10;AOADAABkcnMvZG93bnJldi54bWxQSwUGAAAAAAQABADzAAAA6wQAAAAA&#10;" filled="f" stroked="f">
              <v:textbox style="mso-fit-shape-to-text:t" inset="0,0,0,0">
                <w:txbxContent>
                  <w:p w14:paraId="73D5EEDD" w14:textId="77777777" w:rsidR="00255583" w:rsidRDefault="00000000">
                    <w:pPr>
                      <w:pStyle w:val="Headerorfooter20"/>
                      <w:shd w:val="clear" w:color="auto" w:fill="auto"/>
                      <w:rPr>
                        <w:sz w:val="30"/>
                        <w:szCs w:val="30"/>
                      </w:rPr>
                    </w:pPr>
                    <w:r>
                      <w:rPr>
                        <w:rFonts w:ascii="Arial" w:eastAsia="Arial" w:hAnsi="Arial" w:cs="Arial"/>
                        <w:b/>
                        <w:bCs/>
                        <w:color w:val="08485E"/>
                        <w:sz w:val="30"/>
                        <w:szCs w:val="30"/>
                        <w:lang w:val="pl"/>
                      </w:rPr>
                      <w:t>UNITED IMAGING</w:t>
                    </w:r>
                  </w:p>
                  <w:p w14:paraId="7139825A" w14:textId="77777777" w:rsidR="00255583" w:rsidRDefault="00255583">
                    <w:pPr>
                      <w:pStyle w:val="Headerorfooter20"/>
                      <w:shd w:val="clear" w:color="auto" w:fill="auto"/>
                      <w:rPr>
                        <w:sz w:val="30"/>
                        <w:szCs w:val="30"/>
                      </w:rPr>
                    </w:pPr>
                  </w:p>
                </w:txbxContent>
              </v:textbox>
              <w10:wrap anchorx="page" anchory="page"/>
            </v:shape>
          </w:pict>
        </mc:Fallback>
      </mc:AlternateContent>
    </w:r>
    <w:r>
      <w:rPr>
        <w:noProof/>
        <w:lang w:val="pl"/>
      </w:rPr>
      <mc:AlternateContent>
        <mc:Choice Requires="wps">
          <w:drawing>
            <wp:anchor distT="0" distB="0" distL="0" distR="0" simplePos="0" relativeHeight="62914698" behindDoc="1" locked="0" layoutInCell="1" allowOverlap="1" wp14:anchorId="46B26626" wp14:editId="45058B2F">
              <wp:simplePos x="0" y="0"/>
              <wp:positionH relativeFrom="page">
                <wp:posOffset>544195</wp:posOffset>
              </wp:positionH>
              <wp:positionV relativeFrom="page">
                <wp:posOffset>539750</wp:posOffset>
              </wp:positionV>
              <wp:extent cx="1051560" cy="113030"/>
              <wp:effectExtent l="0" t="0" r="0" b="0"/>
              <wp:wrapNone/>
              <wp:docPr id="9" name="Shape 9"/>
              <wp:cNvGraphicFramePr/>
              <a:graphic xmlns:a="http://schemas.openxmlformats.org/drawingml/2006/main">
                <a:graphicData uri="http://schemas.microsoft.com/office/word/2010/wordprocessingShape">
                  <wps:wsp>
                    <wps:cNvSpPr txBox="1"/>
                    <wps:spPr>
                      <a:xfrm>
                        <a:off x="0" y="0"/>
                        <a:ext cx="1051560" cy="113030"/>
                      </a:xfrm>
                      <a:prstGeom prst="rect">
                        <a:avLst/>
                      </a:prstGeom>
                      <a:noFill/>
                    </wps:spPr>
                    <wps:txbx>
                      <w:txbxContent>
                        <w:p w14:paraId="3A60326D" w14:textId="77777777" w:rsidR="00255583" w:rsidRPr="00E0762F" w:rsidRDefault="00000000">
                          <w:pPr>
                            <w:pStyle w:val="Headerorfooter20"/>
                            <w:shd w:val="clear" w:color="auto" w:fill="auto"/>
                            <w:rPr>
                              <w:sz w:val="14"/>
                              <w:szCs w:val="14"/>
                              <w:lang w:val="pl-PL"/>
                            </w:rPr>
                          </w:pPr>
                          <w:r>
                            <w:rPr>
                              <w:rFonts w:ascii="Arial Narrow" w:eastAsia="Arial Narrow" w:hAnsi="Arial Narrow" w:cs="Arial Narrow"/>
                              <w:color w:val="404040"/>
                              <w:sz w:val="14"/>
                              <w:szCs w:val="14"/>
                              <w:lang w:val="pl"/>
                            </w:rPr>
                            <w:t>Dział Prawny i Zgodności z Przepisami UIH – wersja 3, 2021 r.</w:t>
                          </w:r>
                        </w:p>
                      </w:txbxContent>
                    </wps:txbx>
                    <wps:bodyPr wrap="none" lIns="0" tIns="0" rIns="0" bIns="0">
                      <a:spAutoFit/>
                    </wps:bodyPr>
                  </wps:wsp>
                </a:graphicData>
              </a:graphic>
            </wp:anchor>
          </w:drawing>
        </mc:Choice>
        <mc:Fallback>
          <w:pict>
            <v:shape w14:anchorId="46B26626" id="Shape 9" o:spid="_x0000_s1030" type="#_x0000_t202" style="position:absolute;margin-left:42.85pt;margin-top:42.5pt;width:82.8pt;height:8.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Q4hgEAAAcDAAAOAAAAZHJzL2Uyb0RvYy54bWysUttKAzEQfRf8h5B3u7vekKXbopSKICqo&#10;H5Bmk25gkwmZ2N3+vZPYi+ib+DKZZJJzzpzJdD7anm1UQAOu4dWk5Ew5Ca1x64a/vy3PbjjDKFwr&#10;enCq4VuFfD47PZkOvlbn0EHfqsAIxGE9+IZ3Mfq6KFB2ygqcgFeOihqCFZG2YV20QQyEbvvivCyv&#10;iwFC6wNIhUini68in2V8rZWMz1qjiqxvOGmLOYYcVykWs6mo10H4zsidDPEHFVYYR6QHqIWIgn0E&#10;8wvKGhkAQceJBFuA1kaq3AN1U5U/unnthFe5FzIH/cEm/D9Y+bR59S+BxfEORhpgMmTwWCMdpn5G&#10;HWxaSSmjOlm4PdimxshkelReVVfXVJJUq6qL8iL7Whxf+4DxXoFlKWl4oLFkt8TmESMx0tX9lUTm&#10;YGn6Pp0fpaQsjquRmbbhl3uZK2i3pH6gATbc0Q/jrH9w5E+a9T4J+2S1SxIH+tuPSDyZPoF/Qe04&#10;ye2savcz0ji/7/Ot4/+dfQIAAP//AwBQSwMEFAAGAAgAAAAhAFlUUGXcAAAACQEAAA8AAABkcnMv&#10;ZG93bnJldi54bWxMj8FOwzAQRO9I/IO1SNyo06DSKMSpUCUu3CgIiZsbb+MIex3Zbpr8PdsTnFaj&#10;eZqdaXazd2LCmIZACtarAgRSF8xAvYLPj9eHCkTKmox2gVDBggl27e1No2sTLvSO0yH3gkMo1VqB&#10;zXmspUydRa/TKoxI7J1C9DqzjL00UV843DtZFsWT9Hog/mD1iHuL3c/h7BVs56+AY8I9fp+mLtph&#10;qdzbotT93fzyDCLjnP9guNbn6tByp2M4k0nCKag2WyavlyexX27WjyCODBZlBbJt5P8F7S8AAAD/&#10;/wMAUEsBAi0AFAAGAAgAAAAhALaDOJL+AAAA4QEAABMAAAAAAAAAAAAAAAAAAAAAAFtDb250ZW50&#10;X1R5cGVzXS54bWxQSwECLQAUAAYACAAAACEAOP0h/9YAAACUAQAACwAAAAAAAAAAAAAAAAAvAQAA&#10;X3JlbHMvLnJlbHNQSwECLQAUAAYACAAAACEAdmSEOIYBAAAHAwAADgAAAAAAAAAAAAAAAAAuAgAA&#10;ZHJzL2Uyb0RvYy54bWxQSwECLQAUAAYACAAAACEAWVRQZdwAAAAJAQAADwAAAAAAAAAAAAAAAADg&#10;AwAAZHJzL2Rvd25yZXYueG1sUEsFBgAAAAAEAAQA8wAAAOkEAAAAAA==&#10;" filled="f" stroked="f">
              <v:textbox style="mso-fit-shape-to-text:t" inset="0,0,0,0">
                <w:txbxContent>
                  <w:p w14:paraId="3A60326D" w14:textId="77777777" w:rsidR="00255583" w:rsidRPr="00E0762F" w:rsidRDefault="00000000">
                    <w:pPr>
                      <w:pStyle w:val="Headerorfooter20"/>
                      <w:shd w:val="clear" w:color="auto" w:fill="auto"/>
                      <w:rPr>
                        <w:sz w:val="14"/>
                        <w:szCs w:val="14"/>
                        <w:lang w:val="pl-PL"/>
                      </w:rPr>
                    </w:pPr>
                    <w:r>
                      <w:rPr>
                        <w:rFonts w:ascii="Arial Narrow" w:eastAsia="Arial Narrow" w:hAnsi="Arial Narrow" w:cs="Arial Narrow"/>
                        <w:color w:val="404040"/>
                        <w:sz w:val="14"/>
                        <w:szCs w:val="14"/>
                        <w:lang w:val="pl"/>
                      </w:rPr>
                      <w:t>Dział Prawny i Zgodności z Przepisami UIH – wersja 3, 2021 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202A"/>
    <w:multiLevelType w:val="multilevel"/>
    <w:tmpl w:val="2DC2B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56"/>
        <w:szCs w:val="5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73777"/>
    <w:multiLevelType w:val="multilevel"/>
    <w:tmpl w:val="05C846D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077C5"/>
    <w:multiLevelType w:val="multilevel"/>
    <w:tmpl w:val="5C2457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8D6A80"/>
    <w:multiLevelType w:val="multilevel"/>
    <w:tmpl w:val="7EAE788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881913"/>
    <w:multiLevelType w:val="multilevel"/>
    <w:tmpl w:val="63D4472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077DD8"/>
    <w:multiLevelType w:val="multilevel"/>
    <w:tmpl w:val="43A47EE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487A74"/>
    <w:multiLevelType w:val="multilevel"/>
    <w:tmpl w:val="FCA0416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5010129">
    <w:abstractNumId w:val="6"/>
  </w:num>
  <w:num w:numId="2" w16cid:durableId="1123887773">
    <w:abstractNumId w:val="5"/>
  </w:num>
  <w:num w:numId="3" w16cid:durableId="1400209155">
    <w:abstractNumId w:val="3"/>
  </w:num>
  <w:num w:numId="4" w16cid:durableId="1894847450">
    <w:abstractNumId w:val="1"/>
  </w:num>
  <w:num w:numId="5" w16cid:durableId="2117752921">
    <w:abstractNumId w:val="4"/>
  </w:num>
  <w:num w:numId="6" w16cid:durableId="155730839">
    <w:abstractNumId w:val="2"/>
  </w:num>
  <w:num w:numId="7" w16cid:durableId="135037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83"/>
    <w:rsid w:val="00205D8D"/>
    <w:rsid w:val="00255583"/>
    <w:rsid w:val="005E1236"/>
    <w:rsid w:val="009103CA"/>
    <w:rsid w:val="00D9120D"/>
    <w:rsid w:val="00E0762F"/>
    <w:rsid w:val="00F56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FA4D3"/>
  <w15:docId w15:val="{5F2F31B7-FBE3-49CE-BFC4-56CD3042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4">
    <w:name w:val="Body text (4)_"/>
    <w:basedOn w:val="Domylnaczcionkaakapitu"/>
    <w:link w:val="Bodytext40"/>
    <w:rPr>
      <w:rFonts w:ascii="Arial Narrow" w:eastAsia="Arial Narrow" w:hAnsi="Arial Narrow" w:cs="Arial Narrow"/>
      <w:b/>
      <w:bCs/>
      <w:i w:val="0"/>
      <w:iCs w:val="0"/>
      <w:smallCaps w:val="0"/>
      <w:strike w:val="0"/>
      <w:sz w:val="36"/>
      <w:szCs w:val="36"/>
      <w:u w:val="none"/>
    </w:rPr>
  </w:style>
  <w:style w:type="character" w:customStyle="1" w:styleId="Headerorfooter2">
    <w:name w:val="Header or footer (2)_"/>
    <w:basedOn w:val="Domylnaczcionkaakapitu"/>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ekstpodstawowyZnak">
    <w:name w:val="Tekst podstawowy Znak"/>
    <w:basedOn w:val="Domylnaczcionkaakapitu"/>
    <w:link w:val="Tekstpodstawowy"/>
    <w:rPr>
      <w:rFonts w:ascii="Arial Narrow" w:eastAsia="Arial Narrow" w:hAnsi="Arial Narrow" w:cs="Arial Narrow"/>
      <w:b w:val="0"/>
      <w:bCs w:val="0"/>
      <w:i w:val="0"/>
      <w:iCs w:val="0"/>
      <w:smallCaps w:val="0"/>
      <w:strike w:val="0"/>
      <w:sz w:val="20"/>
      <w:szCs w:val="20"/>
      <w:u w:val="none"/>
    </w:rPr>
  </w:style>
  <w:style w:type="character" w:customStyle="1" w:styleId="Heading2">
    <w:name w:val="Heading #2_"/>
    <w:basedOn w:val="Domylnaczcionkaakapitu"/>
    <w:link w:val="Heading20"/>
    <w:rPr>
      <w:rFonts w:ascii="Arial Narrow" w:eastAsia="Arial Narrow" w:hAnsi="Arial Narrow" w:cs="Arial Narrow"/>
      <w:b w:val="0"/>
      <w:bCs w:val="0"/>
      <w:i w:val="0"/>
      <w:iCs w:val="0"/>
      <w:smallCaps w:val="0"/>
      <w:strike w:val="0"/>
      <w:sz w:val="20"/>
      <w:szCs w:val="20"/>
      <w:u w:val="none"/>
    </w:rPr>
  </w:style>
  <w:style w:type="character" w:customStyle="1" w:styleId="Bodytext3">
    <w:name w:val="Body text (3)_"/>
    <w:basedOn w:val="Domylnaczcionkaakapitu"/>
    <w:link w:val="Bodytext30"/>
    <w:rPr>
      <w:rFonts w:ascii="Arial Narrow" w:eastAsia="Arial Narrow" w:hAnsi="Arial Narrow" w:cs="Arial Narrow"/>
      <w:b w:val="0"/>
      <w:bCs w:val="0"/>
      <w:i w:val="0"/>
      <w:iCs w:val="0"/>
      <w:smallCaps w:val="0"/>
      <w:strike w:val="0"/>
      <w:sz w:val="16"/>
      <w:szCs w:val="16"/>
      <w:u w:val="none"/>
      <w:lang w:val="en-US" w:eastAsia="en-US" w:bidi="en-US"/>
    </w:rPr>
  </w:style>
  <w:style w:type="character" w:customStyle="1" w:styleId="Heading1">
    <w:name w:val="Heading #1_"/>
    <w:basedOn w:val="Domylnaczcionkaakapitu"/>
    <w:link w:val="Heading10"/>
    <w:rPr>
      <w:rFonts w:ascii="Arial Narrow" w:eastAsia="Arial Narrow" w:hAnsi="Arial Narrow" w:cs="Arial Narrow"/>
      <w:b/>
      <w:bCs/>
      <w:i w:val="0"/>
      <w:iCs w:val="0"/>
      <w:smallCaps w:val="0"/>
      <w:strike w:val="0"/>
      <w:sz w:val="40"/>
      <w:szCs w:val="40"/>
      <w:u w:val="none"/>
    </w:rPr>
  </w:style>
  <w:style w:type="character" w:customStyle="1" w:styleId="Bodytext2">
    <w:name w:val="Body text (2)_"/>
    <w:basedOn w:val="Domylnaczcionkaakapitu"/>
    <w:link w:val="Bodytext20"/>
    <w:rPr>
      <w:rFonts w:ascii="Arial Narrow" w:eastAsia="Arial Narrow" w:hAnsi="Arial Narrow" w:cs="Arial Narrow"/>
      <w:b w:val="0"/>
      <w:bCs w:val="0"/>
      <w:i w:val="0"/>
      <w:iCs w:val="0"/>
      <w:smallCaps w:val="0"/>
      <w:strike w:val="0"/>
      <w:sz w:val="24"/>
      <w:szCs w:val="24"/>
      <w:u w:val="none"/>
      <w:lang w:val="en-US" w:eastAsia="en-US" w:bidi="en-US"/>
    </w:rPr>
  </w:style>
  <w:style w:type="paragraph" w:customStyle="1" w:styleId="Bodytext40">
    <w:name w:val="Body text (4)"/>
    <w:basedOn w:val="Normalny"/>
    <w:link w:val="Bodytext4"/>
    <w:pPr>
      <w:shd w:val="clear" w:color="auto" w:fill="FFFFFF"/>
      <w:spacing w:before="80" w:after="420"/>
      <w:jc w:val="center"/>
    </w:pPr>
    <w:rPr>
      <w:rFonts w:ascii="Arial Narrow" w:eastAsia="Arial Narrow" w:hAnsi="Arial Narrow" w:cs="Arial Narrow"/>
      <w:b/>
      <w:bCs/>
      <w:sz w:val="36"/>
      <w:szCs w:val="36"/>
    </w:rPr>
  </w:style>
  <w:style w:type="paragraph" w:customStyle="1" w:styleId="Headerorfooter20">
    <w:name w:val="Header or footer (2)"/>
    <w:basedOn w:val="Normalny"/>
    <w:link w:val="Headerorfooter2"/>
    <w:pPr>
      <w:shd w:val="clear" w:color="auto" w:fill="FFFFFF"/>
    </w:pPr>
    <w:rPr>
      <w:rFonts w:ascii="Times New Roman" w:eastAsia="Times New Roman" w:hAnsi="Times New Roman" w:cs="Times New Roman"/>
      <w:sz w:val="20"/>
      <w:szCs w:val="20"/>
      <w:lang w:val="en-US" w:eastAsia="en-US" w:bidi="en-US"/>
    </w:rPr>
  </w:style>
  <w:style w:type="paragraph" w:styleId="Tekstpodstawowy">
    <w:name w:val="Body Text"/>
    <w:basedOn w:val="Normalny"/>
    <w:link w:val="TekstpodstawowyZnak"/>
    <w:qFormat/>
    <w:pPr>
      <w:shd w:val="clear" w:color="auto" w:fill="FFFFFF"/>
      <w:spacing w:line="326" w:lineRule="auto"/>
    </w:pPr>
    <w:rPr>
      <w:rFonts w:ascii="Arial Narrow" w:eastAsia="Arial Narrow" w:hAnsi="Arial Narrow" w:cs="Arial Narrow"/>
      <w:sz w:val="20"/>
      <w:szCs w:val="20"/>
    </w:rPr>
  </w:style>
  <w:style w:type="paragraph" w:customStyle="1" w:styleId="Heading20">
    <w:name w:val="Heading #2"/>
    <w:basedOn w:val="Normalny"/>
    <w:link w:val="Heading2"/>
    <w:pPr>
      <w:shd w:val="clear" w:color="auto" w:fill="FFFFFF"/>
      <w:spacing w:after="280" w:line="326" w:lineRule="auto"/>
      <w:jc w:val="center"/>
      <w:outlineLvl w:val="1"/>
    </w:pPr>
    <w:rPr>
      <w:rFonts w:ascii="Arial Narrow" w:eastAsia="Arial Narrow" w:hAnsi="Arial Narrow" w:cs="Arial Narrow"/>
      <w:sz w:val="20"/>
      <w:szCs w:val="20"/>
    </w:rPr>
  </w:style>
  <w:style w:type="paragraph" w:customStyle="1" w:styleId="Bodytext30">
    <w:name w:val="Body text (3)"/>
    <w:basedOn w:val="Normalny"/>
    <w:link w:val="Bodytext3"/>
    <w:pPr>
      <w:shd w:val="clear" w:color="auto" w:fill="FFFFFF"/>
      <w:spacing w:after="180"/>
    </w:pPr>
    <w:rPr>
      <w:rFonts w:ascii="Arial Narrow" w:eastAsia="Arial Narrow" w:hAnsi="Arial Narrow" w:cs="Arial Narrow"/>
      <w:sz w:val="16"/>
      <w:szCs w:val="16"/>
      <w:lang w:val="en-US" w:eastAsia="en-US" w:bidi="en-US"/>
    </w:rPr>
  </w:style>
  <w:style w:type="paragraph" w:customStyle="1" w:styleId="Heading10">
    <w:name w:val="Heading #1"/>
    <w:basedOn w:val="Normalny"/>
    <w:link w:val="Heading1"/>
    <w:pPr>
      <w:shd w:val="clear" w:color="auto" w:fill="FFFFFF"/>
      <w:spacing w:after="520"/>
      <w:outlineLvl w:val="0"/>
    </w:pPr>
    <w:rPr>
      <w:rFonts w:ascii="Arial Narrow" w:eastAsia="Arial Narrow" w:hAnsi="Arial Narrow" w:cs="Arial Narrow"/>
      <w:b/>
      <w:bCs/>
      <w:sz w:val="40"/>
      <w:szCs w:val="40"/>
    </w:rPr>
  </w:style>
  <w:style w:type="paragraph" w:customStyle="1" w:styleId="Bodytext20">
    <w:name w:val="Body text (2)"/>
    <w:basedOn w:val="Normalny"/>
    <w:link w:val="Bodytext2"/>
    <w:pPr>
      <w:shd w:val="clear" w:color="auto" w:fill="FFFFFF"/>
      <w:spacing w:after="280"/>
    </w:pPr>
    <w:rPr>
      <w:rFonts w:ascii="Arial Narrow" w:eastAsia="Arial Narrow" w:hAnsi="Arial Narrow" w:cs="Arial Narrow"/>
      <w:lang w:val="en-US" w:eastAsia="en-US" w:bidi="en-US"/>
    </w:rPr>
  </w:style>
  <w:style w:type="paragraph" w:styleId="Nagwek">
    <w:name w:val="header"/>
    <w:basedOn w:val="Normalny"/>
    <w:link w:val="NagwekZnak"/>
    <w:uiPriority w:val="99"/>
    <w:unhideWhenUsed/>
    <w:rsid w:val="00E0762F"/>
    <w:pPr>
      <w:tabs>
        <w:tab w:val="center" w:pos="4536"/>
        <w:tab w:val="right" w:pos="9072"/>
      </w:tabs>
    </w:pPr>
  </w:style>
  <w:style w:type="character" w:customStyle="1" w:styleId="NagwekZnak">
    <w:name w:val="Nagłówek Znak"/>
    <w:basedOn w:val="Domylnaczcionkaakapitu"/>
    <w:link w:val="Nagwek"/>
    <w:uiPriority w:val="99"/>
    <w:rsid w:val="00E0762F"/>
    <w:rPr>
      <w:color w:val="000000"/>
    </w:rPr>
  </w:style>
  <w:style w:type="paragraph" w:styleId="Stopka">
    <w:name w:val="footer"/>
    <w:basedOn w:val="Normalny"/>
    <w:link w:val="StopkaZnak"/>
    <w:uiPriority w:val="99"/>
    <w:unhideWhenUsed/>
    <w:rsid w:val="00E0762F"/>
    <w:pPr>
      <w:tabs>
        <w:tab w:val="center" w:pos="4536"/>
        <w:tab w:val="right" w:pos="9072"/>
      </w:tabs>
    </w:pPr>
  </w:style>
  <w:style w:type="character" w:customStyle="1" w:styleId="StopkaZnak">
    <w:name w:val="Stopka Znak"/>
    <w:basedOn w:val="Domylnaczcionkaakapitu"/>
    <w:link w:val="Stopka"/>
    <w:uiPriority w:val="99"/>
    <w:rsid w:val="00E0762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egalcompliance@united-imag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de.gov/consolidated-screening-li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2329</Words>
  <Characters>15721</Characters>
  <Application>Microsoft Office Word</Application>
  <DocSecurity>0</DocSecurity>
  <Lines>178</Lines>
  <Paragraphs>50</Paragraphs>
  <ScaleCrop>false</ScaleCrop>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dongdao</dc:creator>
  <cp:keywords/>
  <cp:lastModifiedBy>Bartek Pietrzyk</cp:lastModifiedBy>
  <cp:revision>4</cp:revision>
  <dcterms:created xsi:type="dcterms:W3CDTF">2023-03-17T13:22:00Z</dcterms:created>
  <dcterms:modified xsi:type="dcterms:W3CDTF">2023-03-23T06:09:00Z</dcterms:modified>
</cp:coreProperties>
</file>