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5CCC" w14:textId="77777777" w:rsidR="00684F71" w:rsidRPr="0006239F" w:rsidRDefault="00000000">
      <w:pPr>
        <w:pStyle w:val="Heading10"/>
        <w:keepNext/>
        <w:keepLines/>
        <w:shd w:val="clear" w:color="auto" w:fill="auto"/>
        <w:jc w:val="both"/>
        <w:rPr>
          <w:lang w:val="pl-PL"/>
        </w:rPr>
      </w:pPr>
      <w:bookmarkStart w:id="0" w:name="bookmark1"/>
      <w:bookmarkStart w:id="1" w:name="bookmark0"/>
      <w:r>
        <w:rPr>
          <w:lang w:val="pl"/>
        </w:rPr>
        <w:t>KODEKS ETYKI DYSTRYBUTORÓW</w:t>
      </w:r>
      <w:bookmarkEnd w:id="0"/>
      <w:bookmarkEnd w:id="1"/>
    </w:p>
    <w:p w14:paraId="4912C883" w14:textId="77777777" w:rsidR="00684F71" w:rsidRPr="0006239F" w:rsidRDefault="00000000">
      <w:pPr>
        <w:pStyle w:val="Tekstpodstawowy"/>
        <w:shd w:val="clear" w:color="auto" w:fill="auto"/>
        <w:spacing w:after="300"/>
        <w:jc w:val="both"/>
        <w:rPr>
          <w:lang w:val="pl-PL"/>
        </w:rPr>
      </w:pPr>
      <w:r>
        <w:rPr>
          <w:lang w:val="pl"/>
        </w:rPr>
        <w:t>Spółka Shanghai United Imaging Healthcare Co. Ltd. oraz wszystkie jej podmioty zależne i stowarzyszone (zwane dalej łącznie „UIH”) zobowiązują się do zachowania rzetelności i uczciwości w swoich działaniach, w tym marketingowych, w związku z czym niniejszym określają niniejszy Kodeks Etyczny Dystrybutorów (zwany dalej „Kodeksem”), w którym wyrażają oczekiwania dotyczące przestrzegania przez Dystrybutorów najwyższych standardów etycznych we wszystkich aspektach ich kontaktów z klientami, partnerami biznesowymi i władzami państwowymi.</w:t>
      </w:r>
    </w:p>
    <w:p w14:paraId="70A33196" w14:textId="77777777" w:rsidR="00684F71" w:rsidRPr="0006239F" w:rsidRDefault="00000000">
      <w:pPr>
        <w:pStyle w:val="Tekstpodstawowy"/>
        <w:shd w:val="clear" w:color="auto" w:fill="auto"/>
        <w:spacing w:after="300"/>
        <w:jc w:val="both"/>
        <w:rPr>
          <w:lang w:val="pl-PL"/>
        </w:rPr>
      </w:pPr>
      <w:r>
        <w:rPr>
          <w:lang w:val="pl"/>
        </w:rPr>
        <w:t>Dystrybutorzy UIH powinni zapoznać się z Kodeksem i zapewnić zgodność wszystkich stosownych obszarów swojej działalności z jego standardami. UIH zastrzega sobie prawo do okresowej zmiany Kodeksu, a Dystrybutorzy mają w każdym przypadku obowiązek przestrzegania Kodeksu w zmienionej wersji. Jeżeli okaże się, że Dystrybutor nie działa zgodnie ze standardami Kodeksu, UIH zastrzega sobie prawo do natychmiastowego zawieszenia należnych płatności i/lub rozwiązania wszelkich obowiązujących umów dotyczących dystrybutora bądź współpracy w zakresie dystrybucji.</w:t>
      </w:r>
    </w:p>
    <w:p w14:paraId="3FB24C31" w14:textId="77777777" w:rsidR="00684F71" w:rsidRPr="0006239F" w:rsidRDefault="00000000">
      <w:pPr>
        <w:pStyle w:val="Heading20"/>
        <w:keepNext/>
        <w:keepLines/>
        <w:shd w:val="clear" w:color="auto" w:fill="auto"/>
        <w:jc w:val="both"/>
        <w:rPr>
          <w:lang w:val="pl-PL"/>
        </w:rPr>
      </w:pPr>
      <w:bookmarkStart w:id="2" w:name="bookmark3"/>
      <w:bookmarkStart w:id="3" w:name="bookmark2"/>
      <w:r>
        <w:rPr>
          <w:lang w:val="pl"/>
        </w:rPr>
        <w:t>CZĘŚĆ 1. RZETELNOŚĆ, ETYKA I SPOSÓB POSTĘPOWANIA</w:t>
      </w:r>
      <w:bookmarkEnd w:id="2"/>
      <w:bookmarkEnd w:id="3"/>
    </w:p>
    <w:p w14:paraId="3621C1A7" w14:textId="77777777" w:rsidR="00684F71" w:rsidRPr="0006239F" w:rsidRDefault="00000000">
      <w:pPr>
        <w:pStyle w:val="Tekstpodstawowy"/>
        <w:numPr>
          <w:ilvl w:val="0"/>
          <w:numId w:val="1"/>
        </w:numPr>
        <w:shd w:val="clear" w:color="auto" w:fill="auto"/>
        <w:tabs>
          <w:tab w:val="left" w:pos="418"/>
        </w:tabs>
        <w:ind w:left="440" w:hanging="440"/>
        <w:jc w:val="both"/>
        <w:rPr>
          <w:lang w:val="pl-PL"/>
        </w:rPr>
      </w:pPr>
      <w:r>
        <w:rPr>
          <w:b/>
          <w:bCs/>
          <w:lang w:val="pl"/>
        </w:rPr>
        <w:t xml:space="preserve">Zgodność z przepisami. </w:t>
      </w:r>
      <w:r>
        <w:rPr>
          <w:lang w:val="pl"/>
        </w:rPr>
        <w:t>Dystrybutorzy mają obowiązek działać w pełnej zgodności z obowiązującymi przepisami, zasadami i regulacjami, a ponadto zachęca się ich do informowania o Kodeksie swoich pracowników, członków zarządu, konsultantów, przedstawicieli, podmiotów stowarzyszonych i pracowników tymczasowych, oraz upewnienia się, że przyjęli oni Kodeks do wiadomości. Wymagania przedstawione w niniejszym Kodeksie nie mają w zamiarze zastępować ani zmieniać dotychczasowych zobowiązań regulacyjnych lub umownych Dystrybutorów. Dystrybutorzy powinni zapoznać się z obowiązującymi ich umowami, porozumieniami oraz zamówieniami, gdyż mogą one zawierać dodatkowe zobowiązania lub określać standardy wyższe niż te zawarte w Kodeksie.</w:t>
      </w:r>
    </w:p>
    <w:p w14:paraId="480EF2F1" w14:textId="4907ADA7" w:rsidR="00684F71" w:rsidRPr="0006239F" w:rsidRDefault="00000000">
      <w:pPr>
        <w:pStyle w:val="Tekstpodstawowy"/>
        <w:shd w:val="clear" w:color="auto" w:fill="auto"/>
        <w:ind w:left="440" w:hanging="440"/>
        <w:jc w:val="both"/>
        <w:rPr>
          <w:lang w:val="pl-PL"/>
        </w:rPr>
      </w:pPr>
      <w:r>
        <w:rPr>
          <w:b/>
          <w:bCs/>
          <w:lang w:val="pl"/>
        </w:rPr>
        <w:t xml:space="preserve">1.2 </w:t>
      </w:r>
      <w:r w:rsidR="0006239F">
        <w:rPr>
          <w:b/>
          <w:bCs/>
          <w:lang w:val="pl"/>
        </w:rPr>
        <w:tab/>
      </w:r>
      <w:r>
        <w:rPr>
          <w:b/>
          <w:bCs/>
          <w:lang w:val="pl"/>
        </w:rPr>
        <w:t xml:space="preserve">Przeciwdziałanie korupcji i uczciwa konkurencja. </w:t>
      </w:r>
      <w:r>
        <w:rPr>
          <w:lang w:val="pl"/>
        </w:rPr>
        <w:t xml:space="preserve">Dystrybutorzy mają obowiązek przestrzegać zasad – a w miarę możliwości przyjąć jako swoje zasady – amerykańskiej ustawy o zagranicznych praktykach korupcyjnych (FCPA), chińskiej ustawy o zwalczaniu nieuczciwej konkurencji (AUCL) oraz innych globalnych i lokalnych przepisów dotyczących przeciwdziałania korupcji i przekupstwu obowiązujących w regionach, w których prowadzą oni działalność. W przypadku braku takich przepisów lokalnych Dystrybutorzy muszą zachować przejrzystość w swoich działaniach, na przykład przez przestrzeganie wymogu uprzedniego zawiadomienia kierownictwa szpitala lub wyznaczonego lokalnego właściwego organu. UIH stawia sobie za cel konkurować </w:t>
      </w:r>
      <w:r>
        <w:rPr>
          <w:i/>
          <w:iCs/>
          <w:lang w:val="pl"/>
        </w:rPr>
        <w:t xml:space="preserve">wyłącznie </w:t>
      </w:r>
      <w:r>
        <w:rPr>
          <w:lang w:val="pl"/>
        </w:rPr>
        <w:t>zaletami swoich produktów i usług, w związku z czym nie toleruje ani nie aprobuje oferowania, dostarczania, obiecywania ani przyjmowania łapówek przez Dystrybutorów – bezpośrednio ani przez pośredników. Łapówka jest definiowana jako dowolna płatność, opłata, prezent, pożyczka, nagroda, towar lub rzecz posiadająca wartość, która jest wręczana bezpośrednio lub pośrednio w celu uzyskania korzyści biznesowej oraz wywarcia niewłaściwego wpływu na działanie bądź decyzję. Ponadto od Dystrybutorów oczekuje się postępowania w sposób uczciwy, profesjonalny i nie powodujący uszczerbku na wizerunku UIH.</w:t>
      </w:r>
    </w:p>
    <w:p w14:paraId="008AE823" w14:textId="77777777" w:rsidR="00684F71" w:rsidRDefault="00000000">
      <w:pPr>
        <w:pStyle w:val="Tekstpodstawowy"/>
        <w:numPr>
          <w:ilvl w:val="1"/>
          <w:numId w:val="1"/>
        </w:numPr>
        <w:shd w:val="clear" w:color="auto" w:fill="auto"/>
        <w:tabs>
          <w:tab w:val="left" w:pos="418"/>
        </w:tabs>
        <w:ind w:left="440" w:hanging="440"/>
        <w:jc w:val="both"/>
      </w:pPr>
      <w:r>
        <w:rPr>
          <w:b/>
          <w:bCs/>
          <w:lang w:val="pl"/>
        </w:rPr>
        <w:t xml:space="preserve">Prezenty. </w:t>
      </w:r>
      <w:r>
        <w:rPr>
          <w:lang w:val="pl"/>
        </w:rPr>
        <w:t xml:space="preserve">Prezenty, podróże, posiłki, rozrywki i inne przysługi związane z działalnością biznesową (zwane dalej łącznie „Prezentami”), które sprawiają wrażenie łapówek (zgodnie z powyższą definicją), są surowo zabronione. W Kodeksie uznaje się i dopuszcza </w:t>
      </w:r>
      <w:r>
        <w:rPr>
          <w:i/>
          <w:iCs/>
          <w:lang w:val="pl"/>
        </w:rPr>
        <w:t>wyłącznie</w:t>
      </w:r>
      <w:r>
        <w:rPr>
          <w:lang w:val="pl"/>
        </w:rPr>
        <w:t xml:space="preserve"> Prezenty, które są skromne, niezbyt częste, racjonalnie uzasadnione, proporcjonalne, dokonywane lub wyświadczane w dobrej wierze i w zgodnym z prawem celu. Wyjątek ten nie ma zastosowania w krajach, w których przyjmowanie Prezentów przez pracowników służby zdrowia i/lub urzędników państwowych jest sprzeczne z prawem bądź standardami branżowymi. Prezenty muszą zostać odpowiednio </w:t>
      </w:r>
      <w:r>
        <w:rPr>
          <w:lang w:val="pl"/>
        </w:rPr>
        <w:lastRenderedPageBreak/>
        <w:t>odnotowane i ujawnione UIH zgodnie z obowiązującymi przepisami globalnymi oraz przepisami prawa kraju, w którym dany pracownik służby zdrowia posiada pozwolenie na wykonywanie zawodu lub w którym dany urzędnik państwowy sprawuje swój urząd. Żadne Prezenty nie mogą być wręczane w imieniu UIH.</w:t>
      </w:r>
    </w:p>
    <w:p w14:paraId="6BF83F5C" w14:textId="77777777" w:rsidR="00684F71" w:rsidRPr="0006239F" w:rsidRDefault="00000000">
      <w:pPr>
        <w:pStyle w:val="Tekstpodstawowy"/>
        <w:numPr>
          <w:ilvl w:val="1"/>
          <w:numId w:val="1"/>
        </w:numPr>
        <w:shd w:val="clear" w:color="auto" w:fill="auto"/>
        <w:tabs>
          <w:tab w:val="left" w:pos="418"/>
        </w:tabs>
        <w:ind w:left="440" w:hanging="440"/>
        <w:jc w:val="both"/>
        <w:rPr>
          <w:lang w:val="pl-PL"/>
        </w:rPr>
      </w:pPr>
      <w:r>
        <w:rPr>
          <w:b/>
          <w:bCs/>
          <w:lang w:val="pl"/>
        </w:rPr>
        <w:t xml:space="preserve">Darowizny na cele charytatywne. </w:t>
      </w:r>
      <w:r>
        <w:rPr>
          <w:lang w:val="pl"/>
        </w:rPr>
        <w:t xml:space="preserve">Dystrybutorzy są zobowiązani do zachowania należytej staranności w celu zapewnienia, aby darowizny na cele charytatywne lub inne cele humanitarne związane z produktami bądź usługami UIH były przekazywane </w:t>
      </w:r>
      <w:r>
        <w:rPr>
          <w:i/>
          <w:iCs/>
          <w:lang w:val="pl"/>
        </w:rPr>
        <w:t>wyłącznie</w:t>
      </w:r>
      <w:r>
        <w:rPr>
          <w:lang w:val="pl"/>
        </w:rPr>
        <w:t xml:space="preserve"> organizacjom charytatywnym lub innym podmiotom nienastawionym na zysk uprawnionym do ich otrzymywania na mocy obowiązujących przepisów prawa. Darowizny charytatywne nie mogą być przekazywane osobom fizycznym, lecz jedynie organizacjom, szpitalom i innym podmiotom oraz nie mogą być w żaden sposób powiązane z przeszłym, obecnym lub potencjalnym przyszłym korzystaniem z produktów lub usług UIH bądź ich rekomendowaniem, ani z żadną sposobnością biznesową.</w:t>
      </w:r>
    </w:p>
    <w:p w14:paraId="2DA3928D" w14:textId="77777777" w:rsidR="00684F71" w:rsidRPr="0006239F" w:rsidRDefault="00000000">
      <w:pPr>
        <w:pStyle w:val="Tekstpodstawowy"/>
        <w:numPr>
          <w:ilvl w:val="1"/>
          <w:numId w:val="1"/>
        </w:numPr>
        <w:shd w:val="clear" w:color="auto" w:fill="auto"/>
        <w:tabs>
          <w:tab w:val="left" w:pos="418"/>
        </w:tabs>
        <w:ind w:left="440" w:hanging="440"/>
        <w:jc w:val="both"/>
        <w:rPr>
          <w:lang w:val="pl-PL"/>
        </w:rPr>
      </w:pPr>
      <w:r>
        <w:rPr>
          <w:b/>
          <w:bCs/>
          <w:lang w:val="pl"/>
        </w:rPr>
        <w:t xml:space="preserve">Sponsorowanie. </w:t>
      </w:r>
      <w:r>
        <w:rPr>
          <w:lang w:val="pl"/>
        </w:rPr>
        <w:t xml:space="preserve">Dystrybutor może organizować lub sponsorować wydarzenia edukacyjne, naukowe lub akademickie związane z produktami bądź usługami UIH pod warunkiem, że wydarzenia te nie mają na celu wywierania niewłaściwego wpływu na jakiekolwiek decyzje i nie naruszają niezależności pracowników służby zdrowia. Organizując takie wydarzenia, Dystrybutor musi ponosić </w:t>
      </w:r>
      <w:r>
        <w:rPr>
          <w:i/>
          <w:iCs/>
          <w:lang w:val="pl"/>
        </w:rPr>
        <w:t xml:space="preserve">wyłącznie </w:t>
      </w:r>
      <w:r>
        <w:rPr>
          <w:lang w:val="pl"/>
        </w:rPr>
        <w:t>wydatki związane z niezbędnymi podróżami, posiłkami, zakwaterowaniem oraz opłatami rejestracyjnymi w umiarkowanej wysokości, a wszystkie wydatki muszą zostać udokumentowane w księgach i rejestrach.</w:t>
      </w:r>
    </w:p>
    <w:p w14:paraId="773A006A" w14:textId="17860DDE" w:rsidR="00684F71" w:rsidRPr="0006239F" w:rsidRDefault="00000000">
      <w:pPr>
        <w:pStyle w:val="Tekstpodstawowy"/>
        <w:shd w:val="clear" w:color="auto" w:fill="auto"/>
        <w:ind w:left="440" w:hanging="440"/>
        <w:jc w:val="both"/>
        <w:rPr>
          <w:lang w:val="pl-PL"/>
        </w:rPr>
      </w:pPr>
      <w:r>
        <w:rPr>
          <w:b/>
          <w:bCs/>
          <w:lang w:val="pl"/>
        </w:rPr>
        <w:t xml:space="preserve">1.6 </w:t>
      </w:r>
      <w:r w:rsidR="0006239F">
        <w:rPr>
          <w:b/>
          <w:bCs/>
          <w:lang w:val="pl"/>
        </w:rPr>
        <w:tab/>
      </w:r>
      <w:r>
        <w:rPr>
          <w:b/>
          <w:bCs/>
          <w:lang w:val="pl"/>
        </w:rPr>
        <w:t xml:space="preserve">Kontakty z urzędnikami państwowymi. </w:t>
      </w:r>
      <w:r>
        <w:rPr>
          <w:lang w:val="pl"/>
        </w:rPr>
        <w:t>Żadna część wynagrodzenia UIH, zwrotu kosztów ani dowolnej płatności nie może być bezpośrednio ani pośrednio oferowana, obiecywana ani przekazywana na rzecz rządu, podmiotu kontrolowanego przez rząd, międzynarodowej organizacji publicznej lub instytucji pozarządowej, której pracownicy działają w charakterze urzędowym na rzecz lub w imieniu któregokolwiek z wyżej wymienionych podmiotów, ani też żadnego z ich urzędników, dyrektorów, udziałowców, przedstawicieli, pracowników bądź konsultantów, partii politycznej lub kandydata na urząd (zwanych dalej łącznie „Urzędnikami Państwowymi”) w celu wywarcia wpływu na jakiekolwiek działanie bądź decyzję Urzędnika Państwowego działającego w charakterze urzędowym.</w:t>
      </w:r>
    </w:p>
    <w:p w14:paraId="072ED082" w14:textId="0CCEB4F3" w:rsidR="00684F71" w:rsidRPr="0006239F" w:rsidRDefault="00000000">
      <w:pPr>
        <w:pStyle w:val="Tekstpodstawowy"/>
        <w:shd w:val="clear" w:color="auto" w:fill="auto"/>
        <w:ind w:left="440" w:hanging="440"/>
        <w:jc w:val="both"/>
        <w:rPr>
          <w:lang w:val="pl-PL"/>
        </w:rPr>
      </w:pPr>
      <w:r>
        <w:rPr>
          <w:b/>
          <w:bCs/>
          <w:lang w:val="pl"/>
        </w:rPr>
        <w:t xml:space="preserve">1.7 </w:t>
      </w:r>
      <w:r w:rsidR="0006239F">
        <w:rPr>
          <w:b/>
          <w:bCs/>
          <w:lang w:val="pl"/>
        </w:rPr>
        <w:tab/>
      </w:r>
      <w:r>
        <w:rPr>
          <w:b/>
          <w:bCs/>
          <w:lang w:val="pl"/>
        </w:rPr>
        <w:t xml:space="preserve">Zasady antymonopolowe. </w:t>
      </w:r>
      <w:r>
        <w:rPr>
          <w:lang w:val="pl"/>
        </w:rPr>
        <w:t>Dystrybutorzy powinni gromadzić informacje o konkurentach wyłącznie z domeny publicznej oraz wykorzystywać je zgodnie z prawem. Dystrybutorzy nie mogą omawiać praktyk przetargowych i/lub zawierać umów z konkurentami, działać z nimi w skoordynowany sposób lub w porozumieniu, ani też dzielić się z nimi informacjami, które są wrażliwe z punktu widzenia zasad konkurencji.</w:t>
      </w:r>
    </w:p>
    <w:p w14:paraId="2A01B138" w14:textId="710083B3" w:rsidR="00684F71" w:rsidRPr="0006239F" w:rsidRDefault="00000000">
      <w:pPr>
        <w:pStyle w:val="Tekstpodstawowy"/>
        <w:shd w:val="clear" w:color="auto" w:fill="auto"/>
        <w:ind w:left="440" w:hanging="440"/>
        <w:jc w:val="both"/>
        <w:rPr>
          <w:lang w:val="pl-PL"/>
        </w:rPr>
      </w:pPr>
      <w:r>
        <w:rPr>
          <w:b/>
          <w:bCs/>
          <w:lang w:val="pl"/>
        </w:rPr>
        <w:t xml:space="preserve">1.8 </w:t>
      </w:r>
      <w:r w:rsidR="0006239F">
        <w:rPr>
          <w:b/>
          <w:bCs/>
          <w:lang w:val="pl"/>
        </w:rPr>
        <w:tab/>
      </w:r>
      <w:r>
        <w:rPr>
          <w:b/>
          <w:bCs/>
          <w:lang w:val="pl"/>
        </w:rPr>
        <w:t xml:space="preserve">Nadużycia. </w:t>
      </w:r>
      <w:r>
        <w:rPr>
          <w:lang w:val="pl"/>
        </w:rPr>
        <w:t>Wszelkie działania stanowiące lub mające na celu oszustwo, podstęp, kradzież, zwodzenie, wprowadzanie w błąd i kłamstwo dla odnoszenia korzyści osobistych lub zawodowych są niezgodne z wartościami UIH. Dystrybutorzy nie mogą angażować się w żadne oszukańcze ani nieuczciwe postępowanie, w tym w szczególności w wykorzystywanie zasobów UIH do celów prywatnych, składanie fałszywych wniosków o zwrot wydatków, fałszowanie faktur lub dokumentacji oraz kradzież aktywów UIH. Wszelkie zarzuty nadużyć będą badane i w uzasadnionych przypadkach zgłaszane organom ścigania.</w:t>
      </w:r>
    </w:p>
    <w:p w14:paraId="1DF86858" w14:textId="3BC9576C" w:rsidR="00684F71" w:rsidRPr="0006239F" w:rsidRDefault="00000000">
      <w:pPr>
        <w:pStyle w:val="Tekstpodstawowy"/>
        <w:shd w:val="clear" w:color="auto" w:fill="auto"/>
        <w:spacing w:after="300"/>
        <w:ind w:left="440" w:hanging="440"/>
        <w:jc w:val="both"/>
        <w:rPr>
          <w:lang w:val="pl-PL"/>
        </w:rPr>
      </w:pPr>
      <w:r>
        <w:rPr>
          <w:b/>
          <w:bCs/>
          <w:lang w:val="pl"/>
        </w:rPr>
        <w:t xml:space="preserve">1.9 </w:t>
      </w:r>
      <w:r w:rsidR="0006239F">
        <w:rPr>
          <w:b/>
          <w:bCs/>
          <w:lang w:val="pl"/>
        </w:rPr>
        <w:tab/>
      </w:r>
      <w:r>
        <w:rPr>
          <w:b/>
          <w:bCs/>
          <w:lang w:val="pl"/>
        </w:rPr>
        <w:t xml:space="preserve">Pranie pieniędzy i finansowanie działalności przestępczej. </w:t>
      </w:r>
      <w:r>
        <w:rPr>
          <w:lang w:val="pl"/>
        </w:rPr>
        <w:t>Dystrybutorzy mają obowiązek zwracać uwagę na wszelkie nietypowe lub podejrzane przypadki wykorzystania zasobów UIH do celów prania pieniędzy lub finansowania działalności przestępczej oraz informować o nich UIH. Przypadki takie mogą obejmować próby dokonywania płatności z nietypowych źródeł finansowania, które wiążą się z przekazywaniem środków do lub z krajów bądź podmiotów niezwiązanych z transakcjami UIH lub też jej klientami.</w:t>
      </w:r>
    </w:p>
    <w:p w14:paraId="5DC7B7E2" w14:textId="77777777" w:rsidR="00684F71" w:rsidRPr="0006239F" w:rsidRDefault="00000000">
      <w:pPr>
        <w:pStyle w:val="Heading20"/>
        <w:keepNext/>
        <w:keepLines/>
        <w:shd w:val="clear" w:color="auto" w:fill="auto"/>
        <w:jc w:val="both"/>
        <w:rPr>
          <w:lang w:val="pl-PL"/>
        </w:rPr>
      </w:pPr>
      <w:bookmarkStart w:id="4" w:name="bookmark5"/>
      <w:bookmarkStart w:id="5" w:name="bookmark4"/>
      <w:r>
        <w:rPr>
          <w:lang w:val="pl"/>
        </w:rPr>
        <w:t>CZĘŚĆ 2. POUFNOŚĆ, KONFLIKT INTERESÓW</w:t>
      </w:r>
      <w:bookmarkEnd w:id="4"/>
      <w:bookmarkEnd w:id="5"/>
    </w:p>
    <w:p w14:paraId="51E6309E" w14:textId="362BAB91" w:rsidR="00684F71" w:rsidRPr="0006239F" w:rsidRDefault="00000000">
      <w:pPr>
        <w:pStyle w:val="Tekstpodstawowy"/>
        <w:shd w:val="clear" w:color="auto" w:fill="auto"/>
        <w:ind w:left="440" w:hanging="440"/>
        <w:jc w:val="both"/>
        <w:rPr>
          <w:lang w:val="pl-PL"/>
        </w:rPr>
      </w:pPr>
      <w:r>
        <w:rPr>
          <w:b/>
          <w:bCs/>
          <w:lang w:val="pl"/>
        </w:rPr>
        <w:t xml:space="preserve">2.1 </w:t>
      </w:r>
      <w:r w:rsidR="0006239F">
        <w:rPr>
          <w:b/>
          <w:bCs/>
          <w:lang w:val="pl"/>
        </w:rPr>
        <w:tab/>
      </w:r>
      <w:r>
        <w:rPr>
          <w:b/>
          <w:bCs/>
          <w:lang w:val="pl"/>
        </w:rPr>
        <w:t xml:space="preserve">Własność intelektualna i poufność. </w:t>
      </w:r>
      <w:r>
        <w:rPr>
          <w:lang w:val="pl"/>
        </w:rPr>
        <w:t xml:space="preserve">Wszystkie informacje UIH niedostępne w domenie publicznej są cenne i muszą być chronione. Dystrybutorzy są zobowiązani chronić informacje UIH, nie ujawniać ich ani nie udostępniać nieupoważnionym osobom trzecim oraz wykorzystywać je </w:t>
      </w:r>
      <w:r>
        <w:rPr>
          <w:i/>
          <w:iCs/>
          <w:lang w:val="pl"/>
        </w:rPr>
        <w:t>wyłącznie</w:t>
      </w:r>
      <w:r>
        <w:rPr>
          <w:lang w:val="pl"/>
        </w:rPr>
        <w:t xml:space="preserve"> zgodnie z przeznaczeniem. Dystrybutorzy </w:t>
      </w:r>
      <w:r>
        <w:rPr>
          <w:lang w:val="pl"/>
        </w:rPr>
        <w:lastRenderedPageBreak/>
        <w:t>muszą mieć świadomość, że informacje opracowywane lub udostępniane w trakcie relacji biznesowej z UIH są zastrzeżonymi informacjami UIH i muszą być traktowane jako informacje poufne UIH. Dystrybutorzy przyjmują do wiadomości, że UIH jest wyłącznym właścicielem określeń „</w:t>
      </w:r>
      <w:r>
        <w:rPr>
          <w:i/>
          <w:iCs/>
          <w:lang w:val="pl"/>
        </w:rPr>
        <w:t>United Imaging</w:t>
      </w:r>
      <w:r>
        <w:rPr>
          <w:lang w:val="pl"/>
        </w:rPr>
        <w:t>” i „</w:t>
      </w:r>
      <w:r>
        <w:rPr>
          <w:i/>
          <w:iCs/>
          <w:lang w:val="pl"/>
        </w:rPr>
        <w:t>UIH</w:t>
      </w:r>
      <w:r>
        <w:rPr>
          <w:lang w:val="pl"/>
        </w:rPr>
        <w:t>” lub patentów, znaków towarowych, praw autorskich, nazw handlowych, tajemnic handlowych oraz innej własności intelektualnej podobnej lub niepodobnej do powyższych, i Dystrybutorzy nie mogą z nich korzystać w sposób, który mógłby zaszkodzić reputacji lub pozycji UIH bądź stanowić konkurencję dla UIH. Ponadto Dystrybutorzy nie mogą naruszać praw własności intelektualnej i informacji poufnych należących do osób trzecich.</w:t>
      </w:r>
    </w:p>
    <w:p w14:paraId="06E3FD3C" w14:textId="77777777" w:rsidR="00684F71" w:rsidRPr="0006239F" w:rsidRDefault="00000000">
      <w:pPr>
        <w:pStyle w:val="Tekstpodstawowy"/>
        <w:numPr>
          <w:ilvl w:val="0"/>
          <w:numId w:val="2"/>
        </w:numPr>
        <w:shd w:val="clear" w:color="auto" w:fill="auto"/>
        <w:tabs>
          <w:tab w:val="left" w:pos="418"/>
        </w:tabs>
        <w:ind w:left="440" w:hanging="440"/>
        <w:jc w:val="both"/>
        <w:rPr>
          <w:lang w:val="pl-PL"/>
        </w:rPr>
      </w:pPr>
      <w:r>
        <w:rPr>
          <w:b/>
          <w:bCs/>
          <w:lang w:val="pl"/>
        </w:rPr>
        <w:t xml:space="preserve">Wykorzystywanie informacji wewnętrznych. </w:t>
      </w:r>
      <w:r>
        <w:rPr>
          <w:lang w:val="pl"/>
        </w:rPr>
        <w:t>Dystrybutorzy mają obowiązek zapewnić, aby istotne informacje niepubliczne uzyskane w związku z relacjami biznesowymi UIH nie były wykorzystywane do obrotu akcjami jakichkolwiek spółek ani do doradzania komukolwiek w zakresie obrotu akcjami spółek, których dotyczą takie informacje niepubliczne.</w:t>
      </w:r>
    </w:p>
    <w:p w14:paraId="7376A67C" w14:textId="77777777" w:rsidR="00684F71" w:rsidRPr="0006239F" w:rsidRDefault="00000000" w:rsidP="0006239F">
      <w:pPr>
        <w:pStyle w:val="Tekstpodstawowy"/>
        <w:numPr>
          <w:ilvl w:val="0"/>
          <w:numId w:val="2"/>
        </w:numPr>
        <w:shd w:val="clear" w:color="auto" w:fill="auto"/>
        <w:tabs>
          <w:tab w:val="left" w:pos="418"/>
        </w:tabs>
        <w:ind w:left="442" w:hanging="442"/>
        <w:jc w:val="both"/>
        <w:rPr>
          <w:lang w:val="pl-PL"/>
        </w:rPr>
      </w:pPr>
      <w:r>
        <w:rPr>
          <w:b/>
          <w:bCs/>
          <w:lang w:val="pl"/>
        </w:rPr>
        <w:t xml:space="preserve">Ochrona danych. </w:t>
      </w:r>
      <w:r>
        <w:rPr>
          <w:lang w:val="pl"/>
        </w:rPr>
        <w:t>UIH oczekuje od Dystrybutorów wdrożenia odpowiednich środków kontrolnych i ochronnych w zakresie gromadzenia, przechowywania, wykorzystywania i/lub przetwarzania informacji umożliwiających identyfikację osób, danych osobowych oraz innych danych określonych w odpowiednich przepisach dotyczących ochrony danych.</w:t>
      </w:r>
    </w:p>
    <w:p w14:paraId="29DDCC06" w14:textId="77777777" w:rsidR="00684F71" w:rsidRPr="0006239F" w:rsidRDefault="00000000">
      <w:pPr>
        <w:pStyle w:val="Tekstpodstawowy"/>
        <w:numPr>
          <w:ilvl w:val="0"/>
          <w:numId w:val="2"/>
        </w:numPr>
        <w:shd w:val="clear" w:color="auto" w:fill="auto"/>
        <w:tabs>
          <w:tab w:val="left" w:pos="418"/>
        </w:tabs>
        <w:spacing w:after="300"/>
        <w:ind w:left="440" w:hanging="440"/>
        <w:jc w:val="both"/>
        <w:rPr>
          <w:lang w:val="pl-PL"/>
        </w:rPr>
      </w:pPr>
      <w:r>
        <w:rPr>
          <w:b/>
          <w:bCs/>
          <w:lang w:val="pl"/>
        </w:rPr>
        <w:t xml:space="preserve">Konflikt interesów. </w:t>
      </w:r>
      <w:r>
        <w:rPr>
          <w:lang w:val="pl"/>
        </w:rPr>
        <w:t>Dystrybutorzy muszą unikać relacji finansowych, biznesowych i innych, które mogłyby zagrozić wykonywaniu ich obowiązków wynikających z umów handlowych z UIH. Jeżeli taka sytuacja jest nie do uniknięcia, Dystrybutorzy mają obowiązek poinformować o niej UIH z wyprzedzeniem co najmniej dziesięciu (10) dni roboczych.</w:t>
      </w:r>
    </w:p>
    <w:p w14:paraId="3CE8C817" w14:textId="77777777" w:rsidR="00684F71" w:rsidRDefault="00000000">
      <w:pPr>
        <w:pStyle w:val="Heading20"/>
        <w:keepNext/>
        <w:keepLines/>
        <w:shd w:val="clear" w:color="auto" w:fill="auto"/>
        <w:jc w:val="both"/>
      </w:pPr>
      <w:bookmarkStart w:id="6" w:name="bookmark7"/>
      <w:bookmarkStart w:id="7" w:name="bookmark6"/>
      <w:r>
        <w:rPr>
          <w:lang w:val="pl"/>
        </w:rPr>
        <w:t>CZĘŚĆ 3. KONTROLA WYWOZU I PRZYWOZU</w:t>
      </w:r>
      <w:bookmarkEnd w:id="6"/>
      <w:bookmarkEnd w:id="7"/>
    </w:p>
    <w:p w14:paraId="4950DFE4" w14:textId="77777777" w:rsidR="00684F71" w:rsidRPr="0006239F" w:rsidRDefault="00000000">
      <w:pPr>
        <w:pStyle w:val="Tekstpodstawowy"/>
        <w:numPr>
          <w:ilvl w:val="0"/>
          <w:numId w:val="3"/>
        </w:numPr>
        <w:shd w:val="clear" w:color="auto" w:fill="auto"/>
        <w:tabs>
          <w:tab w:val="left" w:pos="418"/>
        </w:tabs>
        <w:ind w:left="440" w:hanging="440"/>
        <w:jc w:val="both"/>
        <w:rPr>
          <w:lang w:val="pl-PL"/>
        </w:rPr>
      </w:pPr>
      <w:r>
        <w:rPr>
          <w:b/>
          <w:bCs/>
          <w:lang w:val="pl"/>
        </w:rPr>
        <w:t xml:space="preserve">Ogólne zapewnienie zgodności z przepisami. </w:t>
      </w:r>
      <w:r>
        <w:rPr>
          <w:lang w:val="pl"/>
        </w:rPr>
        <w:t xml:space="preserve">Dystrybutorzy muszą przestrzegać wszystkich obowiązujących przepisów, regulacji i wymogów administracyjnych dotyczących kontroli eksportu oraz sankcji obowiązujących we wszystkich krajach i/lub terytoriach, a w szczególności takich przepisów i regulacji obowiązujących w Stanach Zjednoczonych Ameryki (zwanych dalej łącznie „Regulacjami Eksportowymi”). Dystrybutorzy nie mogą eksportować, reeksportować ani przekazywać w kraju, bezpośrednio lub pośrednio, produktów i danych technicznych dostarczanych przez UIH do bądź na użytek: a) osób znajdujących się na liście osób szczególnie oznaczonych (Specially Designated Nationals), liście osób zablokowanych (Blocked Persons List), liście osób objętych zakazem (Denied Persons List), liście podmiotów (Entity List), liście osób niezweryfikowanych (Unverified List), liście osób wykluczonych (Debarred List) lub liście powstrzymywania rozprzestrzeniania (Nonproliferation List) oraz na innych listach podmiotów objętych ograniczeniami wraz z ich późniejszymi zmianami (zwanych dalej łącznie „Listą Podmiotów Objętych Ograniczeniami”); b) wszelkich osób znajdujących się na Kubie, w Iranie, Korei Północnej, Sudanie, Syrii, Wenezueli i regionie Krymu w Ukrainie, pozostających pod kontrolą takich osób lub będących obywatelami bądź stałymi rezydentami tych terytoriów; oraz c) innych podmiotów wskazanych w Regulacjach Eksportowych jako zajmujące się działalnością terrorystyczną, wymienionych na liście końcowych użytkowników wojskowych (Military End User List) zgodnie z definicją w dodatku nr 7 do części 744 Rozporządzenia dotyczącego zarządzania eksportem (Export Administration Regulation) bądź stanowiących zagrożenie dla bezpieczeństwa narodowego, polityki zagranicznej lub interesów gospodarczych Stanów Zjednoczonych. Produkty i wszelkie dane techniczne dostarczone przez UIH mogą być wykorzystywane wyłącznie do celów medycznych, nie zaś do projektowania, produkcji lub stosowania systemów broni jądrowej, rakietowej, chemicznej i biologicznej, dronów bądź pojazdów zdolnych do przenoszenia broni, a także innej działalności w tym zakresie. Dystrybutor ma obowiązek niezwłocznego dostarczenia UIH wszelkich informacji dotyczących transakcji (w tym dotyczących końcowego przeznaczenia i użytkownika końcowego), sporządzenia </w:t>
      </w:r>
      <w:r>
        <w:rPr>
          <w:lang w:val="pl"/>
        </w:rPr>
        <w:lastRenderedPageBreak/>
        <w:t>wszelkich dokumentów związanych z dołożeniem należytej staranności przy eksporcie oraz nawiązania kontaktu z innymi podmiotami w razie potrzeby.</w:t>
      </w:r>
    </w:p>
    <w:p w14:paraId="3EA9F6E2" w14:textId="7D46F7DE" w:rsidR="00684F71" w:rsidRPr="0006239F" w:rsidRDefault="00000000">
      <w:pPr>
        <w:pStyle w:val="Tekstpodstawowy"/>
        <w:numPr>
          <w:ilvl w:val="0"/>
          <w:numId w:val="3"/>
        </w:numPr>
        <w:shd w:val="clear" w:color="auto" w:fill="auto"/>
        <w:tabs>
          <w:tab w:val="left" w:pos="418"/>
        </w:tabs>
        <w:ind w:left="440" w:hanging="440"/>
        <w:jc w:val="both"/>
        <w:rPr>
          <w:lang w:val="pl-PL"/>
        </w:rPr>
      </w:pPr>
      <w:r>
        <w:rPr>
          <w:b/>
          <w:bCs/>
          <w:lang w:val="pl"/>
        </w:rPr>
        <w:t xml:space="preserve">Oświadczenia i </w:t>
      </w:r>
      <w:r w:rsidR="0006239F">
        <w:rPr>
          <w:b/>
          <w:bCs/>
          <w:lang w:val="pl"/>
        </w:rPr>
        <w:t>zapewnienia</w:t>
      </w:r>
      <w:r>
        <w:rPr>
          <w:b/>
          <w:bCs/>
          <w:lang w:val="pl"/>
        </w:rPr>
        <w:t xml:space="preserve">. </w:t>
      </w:r>
      <w:r>
        <w:rPr>
          <w:lang w:val="pl"/>
        </w:rPr>
        <w:t>Dystrybutorzy oświadczają, że ich udziałowcy, podmioty stowarzyszone, kontrahenci, spedytorzy i inni partnerzy biznesowi uczestniczący w transakcjach z UIH, jak też przedstawiciele, dyrektorzy oraz pracownicy tych stron nie znajdują się na Liście Podmiotów Objętych Ograniczeniami, a dowolny podmiot lub podmioty z Listy Podmiotów Objętych Ograniczeniami nie są bezpośrednio ani pośrednio, z osobna ani łącznie, właścicielami udziału w Partnerach wynoszącego lub przekraczającego 50%.</w:t>
      </w:r>
    </w:p>
    <w:p w14:paraId="197119C4" w14:textId="77777777" w:rsidR="00684F71" w:rsidRPr="0006239F" w:rsidRDefault="00000000">
      <w:pPr>
        <w:pStyle w:val="Tekstpodstawowy"/>
        <w:numPr>
          <w:ilvl w:val="0"/>
          <w:numId w:val="3"/>
        </w:numPr>
        <w:shd w:val="clear" w:color="auto" w:fill="auto"/>
        <w:tabs>
          <w:tab w:val="left" w:pos="418"/>
        </w:tabs>
        <w:spacing w:after="300"/>
        <w:ind w:left="440" w:hanging="440"/>
        <w:jc w:val="both"/>
        <w:rPr>
          <w:lang w:val="pl-PL"/>
        </w:rPr>
      </w:pPr>
      <w:r>
        <w:rPr>
          <w:b/>
          <w:bCs/>
          <w:lang w:val="pl"/>
        </w:rPr>
        <w:t xml:space="preserve">Wniosek o zezwolenie. </w:t>
      </w:r>
      <w:r>
        <w:rPr>
          <w:lang w:val="pl"/>
        </w:rPr>
        <w:t>(Re)eksport produktów UIH i ich danych technicznych wymaga ustalenia, czy wymagane jest w tym celu zezwolenie od dowolnych właściwych organów, oraz czy takie zezwolenie zostanie uzyskane, przy czym takie ustalenie może ulec zmianie bez powiadomienia. W przypadku, gdy wykonanie umowy jest uniemożliwione przez dowolne przeszkody lub nieprzewidziane zdarzenia zaszłe w trakcie dokonywania powyższego ustalenia, w tym w szczególności zmiany na Liście Podmiotów Objętych Ograniczeniami lub niemożność uzyskania wymaganego zezwolenia w terminie, UIH może jednostronnie zmienić lub rozwiązać porozumienia dotyczące dystrybucji bez konieczności wypłacenia jakiejkolwiek rekompensaty, nawiązki czy kar umownych związanych ze szkodami ubocznymi, szczególnymi bądź następczymi.</w:t>
      </w:r>
    </w:p>
    <w:p w14:paraId="22F629A1" w14:textId="77777777" w:rsidR="00684F71" w:rsidRPr="0006239F" w:rsidRDefault="00000000">
      <w:pPr>
        <w:pStyle w:val="Heading20"/>
        <w:keepNext/>
        <w:keepLines/>
        <w:shd w:val="clear" w:color="auto" w:fill="auto"/>
        <w:rPr>
          <w:lang w:val="pl-PL"/>
        </w:rPr>
      </w:pPr>
      <w:bookmarkStart w:id="8" w:name="bookmark9"/>
      <w:bookmarkStart w:id="9" w:name="bookmark8"/>
      <w:r>
        <w:rPr>
          <w:lang w:val="pl"/>
        </w:rPr>
        <w:t>CZĘŚĆ 4. KWESTIE DOTYCZĄCE PRAW CZŁOWIEKA I ŚRODOWISKOWE</w:t>
      </w:r>
      <w:bookmarkEnd w:id="8"/>
      <w:bookmarkEnd w:id="9"/>
    </w:p>
    <w:p w14:paraId="58A7CC85" w14:textId="77777777" w:rsidR="00684F71" w:rsidRPr="0006239F" w:rsidRDefault="00000000">
      <w:pPr>
        <w:pStyle w:val="Tekstpodstawowy"/>
        <w:numPr>
          <w:ilvl w:val="0"/>
          <w:numId w:val="4"/>
        </w:numPr>
        <w:shd w:val="clear" w:color="auto" w:fill="auto"/>
        <w:tabs>
          <w:tab w:val="left" w:pos="418"/>
        </w:tabs>
        <w:ind w:left="440" w:hanging="440"/>
        <w:jc w:val="both"/>
        <w:rPr>
          <w:lang w:val="pl-PL"/>
        </w:rPr>
      </w:pPr>
      <w:r>
        <w:rPr>
          <w:b/>
          <w:bCs/>
          <w:lang w:val="pl"/>
        </w:rPr>
        <w:t xml:space="preserve">Zatrudnienie i warunki pracy. </w:t>
      </w:r>
      <w:r>
        <w:rPr>
          <w:lang w:val="pl"/>
        </w:rPr>
        <w:t>Od dystrybutorów oczekuje się zapewnienia wszystkim pracownikom sprawiedliwego i etycznego środowiska pracy, z uwzględnieniem odpowiednich zasad i praktyk w zakresie praw pracowniczych oraz praw człowieka. Zaleca się, aby miejsca pracy były wyposażone we w pełni sprawne zaplecze sanitarne i spełniały warunki BHP w celu ochrony pracowników przed wypadkami oraz chorobami zawodowymi.</w:t>
      </w:r>
    </w:p>
    <w:p w14:paraId="385DEBA6" w14:textId="77777777" w:rsidR="00684F71" w:rsidRPr="0006239F" w:rsidRDefault="00000000">
      <w:pPr>
        <w:pStyle w:val="Tekstpodstawowy"/>
        <w:numPr>
          <w:ilvl w:val="0"/>
          <w:numId w:val="4"/>
        </w:numPr>
        <w:shd w:val="clear" w:color="auto" w:fill="auto"/>
        <w:tabs>
          <w:tab w:val="left" w:pos="418"/>
        </w:tabs>
        <w:ind w:left="440" w:hanging="440"/>
        <w:jc w:val="both"/>
        <w:rPr>
          <w:lang w:val="pl-PL"/>
        </w:rPr>
      </w:pPr>
      <w:r>
        <w:rPr>
          <w:b/>
          <w:bCs/>
          <w:lang w:val="pl"/>
        </w:rPr>
        <w:t xml:space="preserve">Przepisy antydyskryminacyjne. </w:t>
      </w:r>
      <w:r>
        <w:rPr>
          <w:lang w:val="pl"/>
        </w:rPr>
        <w:t>Dystrybutorzy nie mogą dopuszczać się dyskryminacji ze względu na płeć, rasę, kolor skóry, wiek, religię, orientację seksualną, pochodzenie narodowe lub obywatelstwo, niepełnosprawność fizyczną lub umysłową oraz inne cechy chronione prawem.</w:t>
      </w:r>
    </w:p>
    <w:p w14:paraId="7E579558" w14:textId="4F4AFE10" w:rsidR="00684F71" w:rsidRPr="0006239F" w:rsidRDefault="00000000" w:rsidP="0006239F">
      <w:pPr>
        <w:pStyle w:val="Tekstpodstawowy"/>
        <w:numPr>
          <w:ilvl w:val="0"/>
          <w:numId w:val="4"/>
        </w:numPr>
        <w:shd w:val="clear" w:color="auto" w:fill="auto"/>
        <w:tabs>
          <w:tab w:val="left" w:pos="418"/>
        </w:tabs>
        <w:ind w:left="442" w:hanging="442"/>
        <w:jc w:val="both"/>
        <w:rPr>
          <w:lang w:val="pl-PL"/>
        </w:rPr>
      </w:pPr>
      <w:r>
        <w:rPr>
          <w:b/>
          <w:bCs/>
          <w:lang w:val="pl"/>
        </w:rPr>
        <w:t xml:space="preserve">Zapobieganie nękaniu. </w:t>
      </w:r>
      <w:r>
        <w:rPr>
          <w:lang w:val="pl"/>
        </w:rPr>
        <w:t>Każdy pracownik zasługuje na traktowanie z godnością i szacunkiem. Od Dystrybutorów oczekuje się, że nie będą zastraszać pracowników ani też grozić im czy poddawać ich bezprawnemu bądź nieludzkiemu traktowaniu, w tym między innymi słownemu, fizycznemu, seksualnemu lub psychologicznemu znęcaniu się i molestowaniu.</w:t>
      </w:r>
    </w:p>
    <w:p w14:paraId="010944AA" w14:textId="77777777" w:rsidR="00684F71" w:rsidRPr="0006239F" w:rsidRDefault="00000000">
      <w:pPr>
        <w:pStyle w:val="Tekstpodstawowy"/>
        <w:numPr>
          <w:ilvl w:val="0"/>
          <w:numId w:val="4"/>
        </w:numPr>
        <w:shd w:val="clear" w:color="auto" w:fill="auto"/>
        <w:tabs>
          <w:tab w:val="left" w:pos="418"/>
        </w:tabs>
        <w:spacing w:line="324" w:lineRule="auto"/>
        <w:ind w:left="440" w:hanging="440"/>
        <w:jc w:val="both"/>
        <w:rPr>
          <w:lang w:val="pl-PL"/>
        </w:rPr>
      </w:pPr>
      <w:r>
        <w:rPr>
          <w:b/>
          <w:bCs/>
          <w:lang w:val="pl"/>
        </w:rPr>
        <w:t xml:space="preserve">Praca przymusowa. </w:t>
      </w:r>
      <w:r>
        <w:rPr>
          <w:lang w:val="pl"/>
        </w:rPr>
        <w:t>Dystrybutorzy mają obowiązek aktywnie identyfikować, eliminować i zgłaszać przypadki współczesnego niewolnictwa, w tym w szczególności pracy przymusowej, praktyk podobnych do niewolnictwa i handlu ludźmi w swojej działalności biznesowej oraz łańcuchu dystrybucji. Od Dystrybutorów oczekuje się zapewnienia, aby wszelka praca była podejmowana bez przymusu, zatrudniania pracowników będących powyżej minimalnego wymaganego prawem wieku, oraz zagwarantowania pracownikom ustawowych uprawnień, minimalnego wynagrodzenia, przestrzegania maksymalnego czasu pracy i innych uprawnień przyznanych na mocy prawa.</w:t>
      </w:r>
    </w:p>
    <w:p w14:paraId="5B9BCC41" w14:textId="77777777" w:rsidR="00684F71" w:rsidRPr="0006239F" w:rsidRDefault="00000000">
      <w:pPr>
        <w:pStyle w:val="Tekstpodstawowy"/>
        <w:numPr>
          <w:ilvl w:val="0"/>
          <w:numId w:val="4"/>
        </w:numPr>
        <w:shd w:val="clear" w:color="auto" w:fill="auto"/>
        <w:tabs>
          <w:tab w:val="left" w:pos="418"/>
        </w:tabs>
        <w:spacing w:after="300" w:line="324" w:lineRule="auto"/>
        <w:ind w:left="440" w:hanging="440"/>
        <w:jc w:val="both"/>
        <w:rPr>
          <w:lang w:val="pl-PL"/>
        </w:rPr>
      </w:pPr>
      <w:r>
        <w:rPr>
          <w:b/>
          <w:bCs/>
          <w:lang w:val="pl"/>
        </w:rPr>
        <w:t xml:space="preserve">Środowisko i zrównoważony rozwój. </w:t>
      </w:r>
      <w:r>
        <w:rPr>
          <w:lang w:val="pl"/>
        </w:rPr>
        <w:t>Dystrybutorów zachęca się do stosowania praktyk biznesowych, które minimalizują wpływ na środowisko, do wnoszenia wkładu w życie społeczności lokalnej oraz do wykazywania się odpowiedzialnością w zakresie ochrony środowiska.</w:t>
      </w:r>
    </w:p>
    <w:p w14:paraId="02F7B0AF" w14:textId="77777777" w:rsidR="00684F71" w:rsidRPr="0006239F" w:rsidRDefault="00000000">
      <w:pPr>
        <w:pStyle w:val="Heading20"/>
        <w:keepNext/>
        <w:keepLines/>
        <w:shd w:val="clear" w:color="auto" w:fill="auto"/>
        <w:jc w:val="both"/>
        <w:rPr>
          <w:lang w:val="pl-PL"/>
        </w:rPr>
      </w:pPr>
      <w:bookmarkStart w:id="10" w:name="bookmark11"/>
      <w:bookmarkStart w:id="11" w:name="bookmark10"/>
      <w:r>
        <w:rPr>
          <w:lang w:val="pl"/>
        </w:rPr>
        <w:t>CZĘŚĆ 5. PROCEDURY</w:t>
      </w:r>
      <w:bookmarkEnd w:id="10"/>
      <w:bookmarkEnd w:id="11"/>
    </w:p>
    <w:p w14:paraId="7341EB0F" w14:textId="0473A997" w:rsidR="00684F71" w:rsidRPr="0006239F" w:rsidRDefault="00000000">
      <w:pPr>
        <w:pStyle w:val="Tekstpodstawowy"/>
        <w:shd w:val="clear" w:color="auto" w:fill="auto"/>
        <w:ind w:left="440" w:hanging="440"/>
        <w:jc w:val="both"/>
        <w:rPr>
          <w:lang w:val="pl-PL"/>
        </w:rPr>
      </w:pPr>
      <w:r>
        <w:rPr>
          <w:b/>
          <w:bCs/>
          <w:lang w:val="pl"/>
        </w:rPr>
        <w:t xml:space="preserve">5.1 </w:t>
      </w:r>
      <w:r w:rsidR="0006239F">
        <w:rPr>
          <w:b/>
          <w:bCs/>
          <w:lang w:val="pl"/>
        </w:rPr>
        <w:tab/>
      </w:r>
      <w:r>
        <w:rPr>
          <w:b/>
          <w:bCs/>
          <w:lang w:val="pl"/>
        </w:rPr>
        <w:t xml:space="preserve">Odszkodowanie, zabezpieczenie i ochrona przed odpowiedzialnością. </w:t>
      </w:r>
      <w:r>
        <w:rPr>
          <w:lang w:val="pl"/>
        </w:rPr>
        <w:t xml:space="preserve">Dystrybutorzy zgadzają się wypłacić UIH odszkodowanie z tytułu wszelkich roszczeń, dochodzeń, postępowań, pozwów, grzywien, strat, kosztów i szkód oraz </w:t>
      </w:r>
      <w:r>
        <w:rPr>
          <w:lang w:val="pl"/>
        </w:rPr>
        <w:lastRenderedPageBreak/>
        <w:t>zabezpieczyć i chronić UIH przed wszelkimi roszczeniami, dochodzeniami, postępowaniami, pozwami, grzywnami, stratami, kosztami i szkodami wynikającymi z nieprzestrzegania przez Dystrybutorów Kodeksu lub dostarczenia przez Dystrybutorów fałszywych, wprowadzających w błąd lub niepełnych informacji, bądź też związanymi z takim nieprzestrzeganiem czy dostarczeniem, przy czym Dystrybutor ma obowiązek zrekompensować UIH wszelkie straty i wydatki poniesione w związku z powyższymi, w tym między innymi honoraria prawników, opłaty związane z dochodzeniami oraz koszty sądowe.</w:t>
      </w:r>
    </w:p>
    <w:p w14:paraId="42E39537" w14:textId="643DB402" w:rsidR="00684F71" w:rsidRPr="0006239F" w:rsidRDefault="00000000">
      <w:pPr>
        <w:pStyle w:val="Tekstpodstawowy"/>
        <w:numPr>
          <w:ilvl w:val="1"/>
          <w:numId w:val="4"/>
        </w:numPr>
        <w:shd w:val="clear" w:color="auto" w:fill="auto"/>
        <w:tabs>
          <w:tab w:val="left" w:pos="418"/>
        </w:tabs>
        <w:spacing w:after="300"/>
        <w:ind w:left="440" w:hanging="440"/>
        <w:jc w:val="both"/>
        <w:rPr>
          <w:lang w:val="pl-PL"/>
        </w:rPr>
      </w:pPr>
      <w:r>
        <w:rPr>
          <w:b/>
          <w:bCs/>
          <w:lang w:val="pl"/>
        </w:rPr>
        <w:t xml:space="preserve">Sprawozdawczość i działania naprawcze. </w:t>
      </w:r>
      <w:r>
        <w:rPr>
          <w:lang w:val="pl"/>
        </w:rPr>
        <w:t>Od Dystrybutorów oczekuje się okresowej samooceny zgodności z Kodeksem i podjęcia w odpowiednim czasie działań w celu skorygowania wszelkich uchybień lub naruszeń zgłoszonych bądź zidentyfikowanych w wyniku takiej oceny. Dystrybutorzy mają obowiązek informować UIH o wynikach oceny i wszelkich uzasadnionych podejrzeniach dotyczących naruszeń, zgłaszając je na adres [</w:t>
      </w:r>
      <w:hyperlink r:id="rId7" w:history="1">
        <w:r>
          <w:rPr>
            <w:lang w:val="pl"/>
          </w:rPr>
          <w:t>compliance@united-imaging.com</w:t>
        </w:r>
      </w:hyperlink>
      <w:r>
        <w:rPr>
          <w:lang w:val="pl"/>
        </w:rPr>
        <w:t>]. UIH zachęca Dystrybutorów do składania anonimowych zgłoszeń oraz zapewnia poufność zgłoszeń i informacji umożliwiających identyfikację zgłaszającego, chyba że uzyska zgodę zgłaszającego na ich ujawnienie lub jest to wymagane w związku z działaniami organów ścigania.</w:t>
      </w:r>
    </w:p>
    <w:p w14:paraId="2E2FACBC" w14:textId="5512350B" w:rsidR="0006239F" w:rsidRPr="0006239F" w:rsidRDefault="0006239F" w:rsidP="0006239F">
      <w:pPr>
        <w:pStyle w:val="Tekstpodstawowy"/>
        <w:shd w:val="clear" w:color="auto" w:fill="auto"/>
        <w:tabs>
          <w:tab w:val="left" w:pos="418"/>
        </w:tabs>
        <w:spacing w:after="300"/>
        <w:ind w:left="440"/>
        <w:jc w:val="both"/>
        <w:rPr>
          <w:lang w:val="pl-PL"/>
        </w:rPr>
      </w:pPr>
      <w:r>
        <w:rPr>
          <w:b/>
          <w:bCs/>
          <w:lang w:val="pl"/>
        </w:rPr>
        <w:t>…………………………………………………………………………………………………………………………</w:t>
      </w:r>
    </w:p>
    <w:sectPr w:rsidR="0006239F" w:rsidRPr="0006239F">
      <w:headerReference w:type="default" r:id="rId8"/>
      <w:footerReference w:type="default" r:id="rId9"/>
      <w:pgSz w:w="11900" w:h="16840"/>
      <w:pgMar w:top="1930" w:right="1028" w:bottom="1196" w:left="119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C2AA" w14:textId="77777777" w:rsidR="00093004" w:rsidRDefault="00093004">
      <w:r>
        <w:separator/>
      </w:r>
    </w:p>
  </w:endnote>
  <w:endnote w:type="continuationSeparator" w:id="0">
    <w:p w14:paraId="421479BC" w14:textId="77777777" w:rsidR="00093004" w:rsidRDefault="0009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C02" w14:textId="77777777" w:rsidR="00684F71" w:rsidRDefault="00000000">
    <w:pPr>
      <w:spacing w:line="1" w:lineRule="exact"/>
    </w:pPr>
    <w:r>
      <w:rPr>
        <w:noProof/>
        <w:lang w:val="pl"/>
      </w:rPr>
      <mc:AlternateContent>
        <mc:Choice Requires="wps">
          <w:drawing>
            <wp:anchor distT="0" distB="0" distL="0" distR="0" simplePos="0" relativeHeight="62914692" behindDoc="1" locked="0" layoutInCell="1" allowOverlap="1" wp14:anchorId="5C1419B5" wp14:editId="0A2B2AB2">
              <wp:simplePos x="0" y="0"/>
              <wp:positionH relativeFrom="page">
                <wp:posOffset>804545</wp:posOffset>
              </wp:positionH>
              <wp:positionV relativeFrom="page">
                <wp:posOffset>10022205</wp:posOffset>
              </wp:positionV>
              <wp:extent cx="6059170" cy="237490"/>
              <wp:effectExtent l="0" t="0" r="0" b="0"/>
              <wp:wrapNone/>
              <wp:docPr id="3" name="Shape 3"/>
              <wp:cNvGraphicFramePr/>
              <a:graphic xmlns:a="http://schemas.openxmlformats.org/drawingml/2006/main">
                <a:graphicData uri="http://schemas.microsoft.com/office/word/2010/wordprocessingShape">
                  <wps:wsp>
                    <wps:cNvSpPr txBox="1"/>
                    <wps:spPr>
                      <a:xfrm>
                        <a:off x="0" y="0"/>
                        <a:ext cx="6059170" cy="237490"/>
                      </a:xfrm>
                      <a:prstGeom prst="rect">
                        <a:avLst/>
                      </a:prstGeom>
                      <a:noFill/>
                    </wps:spPr>
                    <wps:txbx>
                      <w:txbxContent>
                        <w:p w14:paraId="54F5DC3D" w14:textId="6F52BBD7" w:rsidR="00684F71" w:rsidRPr="0006239F" w:rsidRDefault="00000000">
                          <w:pPr>
                            <w:pStyle w:val="Headerorfooter20"/>
                            <w:shd w:val="clear" w:color="auto" w:fill="auto"/>
                            <w:rPr>
                              <w:sz w:val="18"/>
                              <w:szCs w:val="18"/>
                              <w:lang w:val="pl-PL"/>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b/>
                              <w:bCs/>
                              <w:sz w:val="18"/>
                              <w:szCs w:val="18"/>
                              <w:lang w:val="pl"/>
                            </w:rPr>
                            <w:fldChar w:fldCharType="end"/>
                          </w:r>
                          <w:r>
                            <w:rPr>
                              <w:b/>
                              <w:bCs/>
                              <w:sz w:val="18"/>
                              <w:szCs w:val="18"/>
                              <w:lang w:val="pl"/>
                            </w:rPr>
                            <w:t xml:space="preserve"> </w:t>
                          </w:r>
                          <w:r>
                            <w:rPr>
                              <w:sz w:val="18"/>
                              <w:szCs w:val="18"/>
                              <w:lang w:val="pl"/>
                            </w:rPr>
                            <w:t xml:space="preserve">/ </w:t>
                          </w:r>
                          <w:r w:rsidR="0006239F" w:rsidRPr="0006239F">
                            <w:rPr>
                              <w:b/>
                              <w:bCs/>
                              <w:sz w:val="18"/>
                              <w:szCs w:val="18"/>
                              <w:lang w:val="pl"/>
                            </w:rPr>
                            <w:t>5</w:t>
                          </w:r>
                        </w:p>
                        <w:p w14:paraId="770EF982" w14:textId="77777777" w:rsidR="00684F71" w:rsidRPr="0006239F" w:rsidRDefault="00000000">
                          <w:pPr>
                            <w:pStyle w:val="Headerorfooter20"/>
                            <w:shd w:val="clear" w:color="auto" w:fill="auto"/>
                            <w:rPr>
                              <w:sz w:val="18"/>
                              <w:szCs w:val="18"/>
                              <w:lang w:val="pl-PL"/>
                            </w:rPr>
                          </w:pPr>
                          <w:r>
                            <w:rPr>
                              <w:color w:val="404040"/>
                              <w:sz w:val="18"/>
                              <w:szCs w:val="18"/>
                              <w:lang w:val="pl"/>
                            </w:rPr>
                            <w:t>Dział Prawny i Zgodności z Przepisami UIH – wersja 3, 2021 r.</w:t>
                          </w:r>
                        </w:p>
                      </w:txbxContent>
                    </wps:txbx>
                    <wps:bodyPr wrap="none" lIns="0" tIns="0" rIns="0" bIns="0">
                      <a:spAutoFit/>
                    </wps:bodyPr>
                  </wps:wsp>
                </a:graphicData>
              </a:graphic>
            </wp:anchor>
          </w:drawing>
        </mc:Choice>
        <mc:Fallback>
          <w:pict>
            <v:shapetype w14:anchorId="5C1419B5" id="_x0000_t202" coordsize="21600,21600" o:spt="202" path="m,l,21600r21600,l21600,xe">
              <v:stroke joinstyle="miter"/>
              <v:path gradientshapeok="t" o:connecttype="rect"/>
            </v:shapetype>
            <v:shape id="Shape 3" o:spid="_x0000_s1027" type="#_x0000_t202" style="position:absolute;margin-left:63.35pt;margin-top:789.15pt;width:477.1pt;height:18.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" filled="f" stroked="f">
              <v:textbox style="mso-fit-shape-to-text:t" inset="0,0,0,0">
                <w:txbxContent>
                  <w:p w14:paraId="54F5DC3D" w14:textId="6F52BBD7" w:rsidR="00684F71" w:rsidRPr="0006239F" w:rsidRDefault="00000000">
                    <w:pPr>
                      <w:pStyle w:val="Headerorfooter20"/>
                      <w:shd w:val="clear" w:color="auto" w:fill="auto"/>
                      <w:rPr>
                        <w:sz w:val="18"/>
                        <w:szCs w:val="18"/>
                        <w:lang w:val="pl-PL"/>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b/>
                        <w:bCs/>
                        <w:sz w:val="18"/>
                        <w:szCs w:val="18"/>
                        <w:lang w:val="pl"/>
                      </w:rPr>
                      <w:fldChar w:fldCharType="end"/>
                    </w:r>
                    <w:r>
                      <w:rPr>
                        <w:b/>
                        <w:bCs/>
                        <w:sz w:val="18"/>
                        <w:szCs w:val="18"/>
                        <w:lang w:val="pl"/>
                      </w:rPr>
                      <w:t xml:space="preserve"> </w:t>
                    </w:r>
                    <w:r>
                      <w:rPr>
                        <w:sz w:val="18"/>
                        <w:szCs w:val="18"/>
                        <w:lang w:val="pl"/>
                      </w:rPr>
                      <w:t xml:space="preserve">/ </w:t>
                    </w:r>
                    <w:r w:rsidR="0006239F" w:rsidRPr="0006239F">
                      <w:rPr>
                        <w:b/>
                        <w:bCs/>
                        <w:sz w:val="18"/>
                        <w:szCs w:val="18"/>
                        <w:lang w:val="pl"/>
                      </w:rPr>
                      <w:t>5</w:t>
                    </w:r>
                  </w:p>
                  <w:p w14:paraId="770EF982" w14:textId="77777777" w:rsidR="00684F71" w:rsidRPr="0006239F" w:rsidRDefault="00000000">
                    <w:pPr>
                      <w:pStyle w:val="Headerorfooter20"/>
                      <w:shd w:val="clear" w:color="auto" w:fill="auto"/>
                      <w:rPr>
                        <w:sz w:val="18"/>
                        <w:szCs w:val="18"/>
                        <w:lang w:val="pl-PL"/>
                      </w:rPr>
                    </w:pPr>
                    <w:r>
                      <w:rPr>
                        <w:color w:val="404040"/>
                        <w:sz w:val="18"/>
                        <w:szCs w:val="18"/>
                        <w:lang w:val="pl"/>
                      </w:rPr>
                      <w:t>Dział Prawny i Zgodności z Przepisami UIH – wersja 3, 2021 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A167" w14:textId="77777777" w:rsidR="00093004" w:rsidRDefault="00093004"/>
  </w:footnote>
  <w:footnote w:type="continuationSeparator" w:id="0">
    <w:p w14:paraId="4A1EBE9B" w14:textId="77777777" w:rsidR="00093004" w:rsidRDefault="00093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B808" w14:textId="77777777" w:rsidR="00684F71" w:rsidRDefault="00000000">
    <w:pPr>
      <w:spacing w:line="1" w:lineRule="exact"/>
    </w:pPr>
    <w:r>
      <w:rPr>
        <w:noProof/>
        <w:lang w:val="pl"/>
      </w:rPr>
      <mc:AlternateContent>
        <mc:Choice Requires="wps">
          <w:drawing>
            <wp:anchor distT="0" distB="0" distL="0" distR="0" simplePos="0" relativeHeight="62914690" behindDoc="1" locked="0" layoutInCell="1" allowOverlap="1" wp14:anchorId="689ACB75" wp14:editId="43FC81AD">
              <wp:simplePos x="0" y="0"/>
              <wp:positionH relativeFrom="page">
                <wp:posOffset>4705252</wp:posOffset>
              </wp:positionH>
              <wp:positionV relativeFrom="page">
                <wp:posOffset>316328</wp:posOffset>
              </wp:positionV>
              <wp:extent cx="2348914" cy="365760"/>
              <wp:effectExtent l="0" t="0" r="0" b="0"/>
              <wp:wrapNone/>
              <wp:docPr id="1" name="Shape 1"/>
              <wp:cNvGraphicFramePr/>
              <a:graphic xmlns:a="http://schemas.openxmlformats.org/drawingml/2006/main">
                <a:graphicData uri="http://schemas.microsoft.com/office/word/2010/wordprocessingShape">
                  <wps:wsp>
                    <wps:cNvSpPr txBox="1"/>
                    <wps:spPr>
                      <a:xfrm>
                        <a:off x="0" y="0"/>
                        <a:ext cx="2348914" cy="365760"/>
                      </a:xfrm>
                      <a:prstGeom prst="rect">
                        <a:avLst/>
                      </a:prstGeom>
                      <a:noFill/>
                    </wps:spPr>
                    <wps:txbx>
                      <w:txbxContent>
                        <w:p w14:paraId="7FF65736" w14:textId="206A109B" w:rsidR="00684F71" w:rsidRDefault="0006239F">
                          <w:pPr>
                            <w:pStyle w:val="Headerorfooter20"/>
                            <w:shd w:val="clear" w:color="auto" w:fill="auto"/>
                            <w:rPr>
                              <w:sz w:val="36"/>
                              <w:szCs w:val="36"/>
                            </w:rPr>
                          </w:pPr>
                          <w:r>
                            <w:rPr>
                              <w:noProof/>
                            </w:rPr>
                            <w:drawing>
                              <wp:inline distT="0" distB="0" distL="0" distR="0" wp14:anchorId="200BC521" wp14:editId="51955EC4">
                                <wp:extent cx="2348865" cy="676910"/>
                                <wp:effectExtent l="0" t="0" r="0" b="8890"/>
                                <wp:docPr id="4" name="Obraz 4" descr="Obraz zawierający tekst, zastawa stołowa, naczy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astawa stołowa, naczynia&#10;&#10;Opis wygenerowany automatycznie"/>
                                        <pic:cNvPicPr/>
                                      </pic:nvPicPr>
                                      <pic:blipFill>
                                        <a:blip r:embed="rId1"/>
                                        <a:stretch>
                                          <a:fillRect/>
                                        </a:stretch>
                                      </pic:blipFill>
                                      <pic:spPr>
                                        <a:xfrm>
                                          <a:off x="0" y="0"/>
                                          <a:ext cx="2348865" cy="676910"/>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shapetype w14:anchorId="689ACB75" id="_x0000_t202" coordsize="21600,21600" o:spt="202" path="m,l,21600r21600,l21600,xe">
              <v:stroke joinstyle="miter"/>
              <v:path gradientshapeok="t" o:connecttype="rect"/>
            </v:shapetype>
            <v:shape id="Shape 1" o:spid="_x0000_s1026" type="#_x0000_t202" style="position:absolute;margin-left:370.5pt;margin-top:24.9pt;width:184.95pt;height:28.8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" filled="f" stroked="f">
              <v:textbox style="mso-fit-shape-to-text:t" inset="0,0,0,0">
                <w:txbxContent>
                  <w:p w14:paraId="7FF65736" w14:textId="206A109B" w:rsidR="00684F71" w:rsidRDefault="0006239F">
                    <w:pPr>
                      <w:pStyle w:val="Headerorfooter20"/>
                      <w:shd w:val="clear" w:color="auto" w:fill="auto"/>
                      <w:rPr>
                        <w:sz w:val="36"/>
                        <w:szCs w:val="36"/>
                      </w:rPr>
                    </w:pPr>
                    <w:r>
                      <w:rPr>
                        <w:noProof/>
                      </w:rPr>
                      <w:drawing>
                        <wp:inline distT="0" distB="0" distL="0" distR="0" wp14:anchorId="200BC521" wp14:editId="51955EC4">
                          <wp:extent cx="2348865" cy="676910"/>
                          <wp:effectExtent l="0" t="0" r="0" b="8890"/>
                          <wp:docPr id="4" name="Obraz 4" descr="Obraz zawierający tekst, zastawa stołowa, naczy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astawa stołowa, naczynia&#10;&#10;Opis wygenerowany automatycznie"/>
                                  <pic:cNvPicPr/>
                                </pic:nvPicPr>
                                <pic:blipFill>
                                  <a:blip r:embed="rId2"/>
                                  <a:stretch>
                                    <a:fillRect/>
                                  </a:stretch>
                                </pic:blipFill>
                                <pic:spPr>
                                  <a:xfrm>
                                    <a:off x="0" y="0"/>
                                    <a:ext cx="2348865" cy="67691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42"/>
    <w:multiLevelType w:val="multilevel"/>
    <w:tmpl w:val="9808EE1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46FAC"/>
    <w:multiLevelType w:val="multilevel"/>
    <w:tmpl w:val="DD848FD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B1087"/>
    <w:multiLevelType w:val="multilevel"/>
    <w:tmpl w:val="82C2E62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5683A"/>
    <w:multiLevelType w:val="multilevel"/>
    <w:tmpl w:val="8D86CE7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1257768">
    <w:abstractNumId w:val="0"/>
  </w:num>
  <w:num w:numId="2" w16cid:durableId="623970121">
    <w:abstractNumId w:val="2"/>
  </w:num>
  <w:num w:numId="3" w16cid:durableId="480735119">
    <w:abstractNumId w:val="3"/>
  </w:num>
  <w:num w:numId="4" w16cid:durableId="171469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71"/>
    <w:rsid w:val="0006239F"/>
    <w:rsid w:val="00093004"/>
    <w:rsid w:val="00684F71"/>
    <w:rsid w:val="007B373B"/>
    <w:rsid w:val="008E039C"/>
    <w:rsid w:val="00D7633C"/>
    <w:rsid w:val="00E63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BE7F8"/>
  <w15:docId w15:val="{3E783B88-2353-4124-9BA6-7D8ED16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ekstpodstawowyZnak">
    <w:name w:val="Tekst podstawowy Znak"/>
    <w:basedOn w:val="Domylnaczcionkaakapitu"/>
    <w:link w:val="Tekstpodstawowy"/>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0"/>
      <w:szCs w:val="20"/>
      <w:u w:val="none"/>
    </w:rPr>
  </w:style>
  <w:style w:type="paragraph" w:customStyle="1" w:styleId="Heading10">
    <w:name w:val="Heading #1"/>
    <w:basedOn w:val="Normalny"/>
    <w:link w:val="Heading1"/>
    <w:pPr>
      <w:shd w:val="clear" w:color="auto" w:fill="FFFFFF"/>
      <w:spacing w:before="280" w:after="540"/>
      <w:outlineLvl w:val="0"/>
    </w:pPr>
    <w:rPr>
      <w:rFonts w:ascii="Times New Roman" w:eastAsia="Times New Roman" w:hAnsi="Times New Roman" w:cs="Times New Roman"/>
      <w:b/>
      <w:bCs/>
      <w:sz w:val="32"/>
      <w:szCs w:val="32"/>
    </w:rPr>
  </w:style>
  <w:style w:type="paragraph" w:customStyle="1" w:styleId="Headerorfooter20">
    <w:name w:val="Header or footer (2)"/>
    <w:basedOn w:val="Normalny"/>
    <w:link w:val="Headerorfooter2"/>
    <w:pPr>
      <w:shd w:val="clear" w:color="auto" w:fill="FFFFFF"/>
    </w:pPr>
    <w:rPr>
      <w:rFonts w:ascii="Times New Roman" w:eastAsia="Times New Roman" w:hAnsi="Times New Roman" w:cs="Times New Roman"/>
      <w:sz w:val="20"/>
      <w:szCs w:val="20"/>
    </w:rPr>
  </w:style>
  <w:style w:type="paragraph" w:styleId="Tekstpodstawowy">
    <w:name w:val="Body Text"/>
    <w:basedOn w:val="Normalny"/>
    <w:link w:val="TekstpodstawowyZnak"/>
    <w:qFormat/>
    <w:pPr>
      <w:shd w:val="clear" w:color="auto" w:fill="FFFFFF"/>
      <w:spacing w:line="326" w:lineRule="auto"/>
    </w:pPr>
    <w:rPr>
      <w:rFonts w:ascii="Times New Roman" w:eastAsia="Times New Roman" w:hAnsi="Times New Roman" w:cs="Times New Roman"/>
      <w:sz w:val="20"/>
      <w:szCs w:val="20"/>
    </w:rPr>
  </w:style>
  <w:style w:type="paragraph" w:customStyle="1" w:styleId="Heading20">
    <w:name w:val="Heading #2"/>
    <w:basedOn w:val="Normalny"/>
    <w:link w:val="Heading2"/>
    <w:pPr>
      <w:shd w:val="clear" w:color="auto" w:fill="FFFFFF"/>
      <w:spacing w:after="300" w:line="326" w:lineRule="auto"/>
      <w:outlineLvl w:val="1"/>
    </w:pPr>
    <w:rPr>
      <w:rFonts w:ascii="Times New Roman" w:eastAsia="Times New Roman" w:hAnsi="Times New Roman" w:cs="Times New Roman"/>
      <w:b/>
      <w:bCs/>
      <w:sz w:val="20"/>
      <w:szCs w:val="20"/>
    </w:rPr>
  </w:style>
  <w:style w:type="paragraph" w:styleId="Nagwek">
    <w:name w:val="header"/>
    <w:basedOn w:val="Normalny"/>
    <w:link w:val="NagwekZnak"/>
    <w:uiPriority w:val="99"/>
    <w:unhideWhenUsed/>
    <w:rsid w:val="0006239F"/>
    <w:pPr>
      <w:tabs>
        <w:tab w:val="center" w:pos="4536"/>
        <w:tab w:val="right" w:pos="9072"/>
      </w:tabs>
    </w:pPr>
  </w:style>
  <w:style w:type="character" w:customStyle="1" w:styleId="NagwekZnak">
    <w:name w:val="Nagłówek Znak"/>
    <w:basedOn w:val="Domylnaczcionkaakapitu"/>
    <w:link w:val="Nagwek"/>
    <w:uiPriority w:val="99"/>
    <w:rsid w:val="0006239F"/>
    <w:rPr>
      <w:color w:val="000000"/>
    </w:rPr>
  </w:style>
  <w:style w:type="paragraph" w:styleId="Stopka">
    <w:name w:val="footer"/>
    <w:basedOn w:val="Normalny"/>
    <w:link w:val="StopkaZnak"/>
    <w:uiPriority w:val="99"/>
    <w:unhideWhenUsed/>
    <w:rsid w:val="0006239F"/>
    <w:pPr>
      <w:tabs>
        <w:tab w:val="center" w:pos="4536"/>
        <w:tab w:val="right" w:pos="9072"/>
      </w:tabs>
    </w:pPr>
  </w:style>
  <w:style w:type="character" w:customStyle="1" w:styleId="StopkaZnak">
    <w:name w:val="Stopka Znak"/>
    <w:basedOn w:val="Domylnaczcionkaakapitu"/>
    <w:link w:val="Stopka"/>
    <w:uiPriority w:val="99"/>
    <w:rsid w:val="000623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united-ima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2140</Words>
  <Characters>15001</Characters>
  <Application>Microsoft Office Word</Application>
  <DocSecurity>0</DocSecurity>
  <Lines>176</Lines>
  <Paragraphs>32</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dongdao</dc:creator>
  <cp:keywords/>
  <cp:lastModifiedBy>Bartek Pietrzyk</cp:lastModifiedBy>
  <cp:revision>5</cp:revision>
  <dcterms:created xsi:type="dcterms:W3CDTF">2023-03-17T13:24:00Z</dcterms:created>
  <dcterms:modified xsi:type="dcterms:W3CDTF">2023-03-23T06:09:00Z</dcterms:modified>
</cp:coreProperties>
</file>