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BA25" w14:textId="77777777" w:rsidR="005B63E8" w:rsidRDefault="005B63E8">
      <w:pPr>
        <w:rPr>
          <w:rFonts w:eastAsia="FangSong" w:cs="Times New Roman"/>
          <w:kern w:val="0"/>
          <w:szCs w:val="21"/>
        </w:rPr>
      </w:pPr>
    </w:p>
    <w:p w14:paraId="07B1D75D" w14:textId="5C0D3266" w:rsidR="005B63E8" w:rsidRPr="001C0E63" w:rsidRDefault="00000000" w:rsidP="00E4296D">
      <w:pPr>
        <w:jc w:val="center"/>
        <w:rPr>
          <w:rFonts w:eastAsia="FangSong" w:cs="Times New Roman"/>
          <w:b/>
          <w:kern w:val="0"/>
          <w:sz w:val="28"/>
          <w:szCs w:val="21"/>
          <w:lang w:val="pl-PL"/>
        </w:rPr>
      </w:pPr>
      <w:r>
        <w:rPr>
          <w:rFonts w:cs="Times New Roman"/>
          <w:b/>
          <w:bCs/>
          <w:kern w:val="0"/>
          <w:sz w:val="28"/>
          <w:szCs w:val="21"/>
          <w:lang w:val="pl"/>
        </w:rPr>
        <w:t xml:space="preserve">OŚWIADCZENIE O KOŃCOWYM PRZEZNACZENIU </w:t>
      </w:r>
      <w:r w:rsidR="00E4296D">
        <w:rPr>
          <w:rFonts w:cs="Times New Roman"/>
          <w:b/>
          <w:bCs/>
          <w:kern w:val="0"/>
          <w:sz w:val="28"/>
          <w:szCs w:val="21"/>
          <w:lang w:val="pl"/>
        </w:rPr>
        <w:br/>
      </w:r>
      <w:r>
        <w:rPr>
          <w:rFonts w:cs="Times New Roman"/>
          <w:b/>
          <w:bCs/>
          <w:kern w:val="0"/>
          <w:sz w:val="28"/>
          <w:szCs w:val="21"/>
          <w:lang w:val="pl"/>
        </w:rPr>
        <w:t>I UŻYTKOWNIKACH KOŃCOWYCH</w:t>
      </w:r>
    </w:p>
    <w:p w14:paraId="4C9FCDEC" w14:textId="77777777" w:rsidR="005B63E8" w:rsidRPr="001C0E63" w:rsidRDefault="005B63E8">
      <w:pPr>
        <w:rPr>
          <w:rFonts w:eastAsia="FangSong" w:cs="Times New Roman"/>
          <w:sz w:val="24"/>
          <w:szCs w:val="24"/>
          <w:lang w:val="pl-PL"/>
        </w:rPr>
      </w:pPr>
    </w:p>
    <w:p w14:paraId="29ABA6FC" w14:textId="77777777" w:rsidR="005B63E8" w:rsidRPr="001C0E63" w:rsidRDefault="00000000">
      <w:pPr>
        <w:autoSpaceDE w:val="0"/>
        <w:autoSpaceDN w:val="0"/>
        <w:adjustRightInd w:val="0"/>
        <w:rPr>
          <w:rFonts w:eastAsia="FangSong" w:cs="Times New Roman"/>
          <w:kern w:val="0"/>
          <w:sz w:val="24"/>
          <w:szCs w:val="24"/>
          <w:lang w:val="pl-PL"/>
        </w:rPr>
      </w:pPr>
      <w:r w:rsidRPr="001C0E63">
        <w:rPr>
          <w:rFonts w:cs="Times New Roman"/>
          <w:kern w:val="0"/>
          <w:sz w:val="24"/>
          <w:szCs w:val="24"/>
        </w:rPr>
        <w:t xml:space="preserve">ZWAŻYWSZY, że firma Shanghai United Imaging Healthcare Co. Ltd. </w:t>
      </w:r>
      <w:r>
        <w:rPr>
          <w:rFonts w:cs="Times New Roman"/>
          <w:kern w:val="0"/>
          <w:sz w:val="24"/>
          <w:szCs w:val="24"/>
          <w:lang w:val="pl"/>
        </w:rPr>
        <w:t>(zwana dalej „</w:t>
      </w:r>
      <w:r>
        <w:rPr>
          <w:rFonts w:cs="Times New Roman"/>
          <w:b/>
          <w:bCs/>
          <w:kern w:val="0"/>
          <w:sz w:val="24"/>
          <w:szCs w:val="24"/>
          <w:lang w:val="pl"/>
        </w:rPr>
        <w:t>UIH</w:t>
      </w:r>
      <w:r>
        <w:rPr>
          <w:rFonts w:cs="Times New Roman"/>
          <w:kern w:val="0"/>
          <w:sz w:val="24"/>
          <w:szCs w:val="24"/>
          <w:lang w:val="pl"/>
        </w:rPr>
        <w:t>”) wdrożyła Wewnętrzny Program Zgodności z Przepisami Handlowymi w celu zapewnienia zgodności z międzynarodowymi przepisami i regulacjami dotyczącymi kontroli eksportu, a niniejsze Oświadczenie o końcowym przeznaczeniu i użytkownikach końcowych (zwane dalej „</w:t>
      </w:r>
      <w:r>
        <w:rPr>
          <w:rFonts w:cs="Times New Roman"/>
          <w:b/>
          <w:bCs/>
          <w:kern w:val="0"/>
          <w:sz w:val="24"/>
          <w:szCs w:val="24"/>
          <w:lang w:val="pl"/>
        </w:rPr>
        <w:t>Oświadczeniem</w:t>
      </w:r>
      <w:r>
        <w:rPr>
          <w:rFonts w:cs="Times New Roman"/>
          <w:kern w:val="0"/>
          <w:sz w:val="24"/>
          <w:szCs w:val="24"/>
          <w:lang w:val="pl"/>
        </w:rPr>
        <w:t>”) stanowi część dokumentu potwierdzającego dołożenie należytej staranności w ramach tego Programu;</w:t>
      </w:r>
    </w:p>
    <w:p w14:paraId="3931D9A1" w14:textId="77777777" w:rsidR="005B63E8" w:rsidRPr="001C0E63" w:rsidRDefault="00000000">
      <w:pPr>
        <w:autoSpaceDE w:val="0"/>
        <w:autoSpaceDN w:val="0"/>
        <w:adjustRightInd w:val="0"/>
        <w:rPr>
          <w:rFonts w:eastAsia="FangSong" w:cs="Times New Roman"/>
          <w:kern w:val="0"/>
          <w:sz w:val="24"/>
          <w:szCs w:val="24"/>
          <w:lang w:val="pl-PL"/>
        </w:rPr>
      </w:pPr>
      <w:r>
        <w:rPr>
          <w:rFonts w:cs="Times New Roman"/>
          <w:kern w:val="0"/>
          <w:sz w:val="24"/>
          <w:szCs w:val="24"/>
          <w:lang w:val="pl"/>
        </w:rPr>
        <w:br/>
        <w:t xml:space="preserve">ZWAŻYWSZY, że UIH pragnie zaangażować </w:t>
      </w:r>
      <w:r>
        <w:rPr>
          <w:rFonts w:cs="Times New Roman"/>
          <w:i/>
          <w:iCs/>
          <w:kern w:val="0"/>
          <w:sz w:val="24"/>
          <w:szCs w:val="24"/>
          <w:highlight w:val="yellow"/>
          <w:u w:val="single"/>
          <w:lang w:val="pl"/>
        </w:rPr>
        <w:t>wstawić nazwę spółki</w:t>
      </w:r>
      <w:r>
        <w:rPr>
          <w:rFonts w:cs="Times New Roman"/>
          <w:kern w:val="0"/>
          <w:sz w:val="24"/>
          <w:szCs w:val="24"/>
          <w:lang w:val="pl"/>
        </w:rPr>
        <w:t xml:space="preserve"> (zwaną dalej „</w:t>
      </w:r>
      <w:r>
        <w:rPr>
          <w:rFonts w:cs="Times New Roman"/>
          <w:b/>
          <w:bCs/>
          <w:kern w:val="0"/>
          <w:sz w:val="24"/>
          <w:szCs w:val="24"/>
          <w:lang w:val="pl"/>
        </w:rPr>
        <w:t>Spółką</w:t>
      </w:r>
      <w:r>
        <w:rPr>
          <w:rFonts w:cs="Times New Roman"/>
          <w:kern w:val="0"/>
          <w:sz w:val="24"/>
          <w:szCs w:val="24"/>
          <w:lang w:val="pl"/>
        </w:rPr>
        <w:t>”) do wykonywania następującego projektu („</w:t>
      </w:r>
      <w:r>
        <w:rPr>
          <w:rFonts w:cs="Times New Roman"/>
          <w:b/>
          <w:bCs/>
          <w:kern w:val="0"/>
          <w:sz w:val="24"/>
          <w:szCs w:val="24"/>
          <w:lang w:val="pl"/>
        </w:rPr>
        <w:t>Projekt</w:t>
      </w:r>
      <w:r>
        <w:rPr>
          <w:rFonts w:cs="Times New Roman"/>
          <w:kern w:val="0"/>
          <w:sz w:val="24"/>
          <w:szCs w:val="24"/>
          <w:lang w:val="pl"/>
        </w:rPr>
        <w:t>”) przy zachowaniu zgodności z przepisami handlowymi:</w:t>
      </w:r>
    </w:p>
    <w:p w14:paraId="4876C549" w14:textId="77777777" w:rsidR="005B63E8" w:rsidRPr="001C0E63" w:rsidRDefault="005B63E8">
      <w:pPr>
        <w:autoSpaceDE w:val="0"/>
        <w:autoSpaceDN w:val="0"/>
        <w:adjustRightInd w:val="0"/>
        <w:rPr>
          <w:rFonts w:eastAsia="FangSong" w:cs="Times New Roman"/>
          <w:kern w:val="0"/>
          <w:sz w:val="24"/>
          <w:szCs w:val="24"/>
          <w:lang w:val="pl-PL"/>
        </w:rPr>
      </w:pPr>
    </w:p>
    <w:p w14:paraId="0F7B6C85" w14:textId="77777777" w:rsidR="005B63E8" w:rsidRPr="001C0E63" w:rsidRDefault="00000000">
      <w:pPr>
        <w:autoSpaceDE w:val="0"/>
        <w:autoSpaceDN w:val="0"/>
        <w:adjustRightInd w:val="0"/>
        <w:ind w:leftChars="200" w:left="420"/>
        <w:rPr>
          <w:rFonts w:eastAsia="FangSong" w:cs="Times New Roman"/>
          <w:i/>
          <w:iCs/>
          <w:kern w:val="0"/>
          <w:sz w:val="24"/>
          <w:szCs w:val="24"/>
          <w:lang w:val="pl-PL"/>
        </w:rPr>
      </w:pPr>
      <w:r>
        <w:rPr>
          <w:rFonts w:cs="Times New Roman"/>
          <w:kern w:val="0"/>
          <w:sz w:val="24"/>
          <w:szCs w:val="24"/>
          <w:lang w:val="pl"/>
        </w:rPr>
        <w:t xml:space="preserve">Cel Projektu: </w:t>
      </w:r>
      <w:r>
        <w:rPr>
          <w:rFonts w:cs="Times New Roman"/>
          <w:kern w:val="0"/>
          <w:sz w:val="24"/>
          <w:szCs w:val="24"/>
          <w:highlight w:val="yellow"/>
          <w:lang w:val="pl"/>
        </w:rPr>
        <w:t>_________</w:t>
      </w:r>
      <w:r>
        <w:rPr>
          <w:rFonts w:cs="Times New Roman"/>
          <w:kern w:val="0"/>
          <w:sz w:val="24"/>
          <w:szCs w:val="24"/>
          <w:lang w:val="pl"/>
        </w:rPr>
        <w:t xml:space="preserve"> (np. dystrybucja, magazynowanie lub darowizna)</w:t>
      </w:r>
    </w:p>
    <w:p w14:paraId="0CFEEC7B" w14:textId="77777777" w:rsidR="005B63E8" w:rsidRPr="001C0E63" w:rsidRDefault="00000000">
      <w:pPr>
        <w:autoSpaceDE w:val="0"/>
        <w:autoSpaceDN w:val="0"/>
        <w:adjustRightInd w:val="0"/>
        <w:ind w:leftChars="200" w:left="420"/>
        <w:rPr>
          <w:rFonts w:eastAsia="FangSong" w:cs="Times New Roman"/>
          <w:kern w:val="0"/>
          <w:sz w:val="24"/>
          <w:szCs w:val="24"/>
          <w:lang w:val="pl-PL"/>
        </w:rPr>
      </w:pPr>
      <w:r>
        <w:rPr>
          <w:rFonts w:cs="Times New Roman"/>
          <w:kern w:val="0"/>
          <w:sz w:val="24"/>
          <w:szCs w:val="24"/>
          <w:lang w:val="pl"/>
        </w:rPr>
        <w:t xml:space="preserve">Nazwa użytkownika końcowego (pełna nazwa): </w:t>
      </w:r>
      <w:r>
        <w:rPr>
          <w:rFonts w:cs="Times New Roman"/>
          <w:kern w:val="0"/>
          <w:sz w:val="24"/>
          <w:szCs w:val="24"/>
          <w:highlight w:val="yellow"/>
          <w:lang w:val="pl"/>
        </w:rPr>
        <w:t>____________________</w:t>
      </w:r>
    </w:p>
    <w:p w14:paraId="2AC2ED12" w14:textId="77777777" w:rsidR="005B63E8" w:rsidRPr="001C0E63" w:rsidRDefault="00000000">
      <w:pPr>
        <w:autoSpaceDE w:val="0"/>
        <w:autoSpaceDN w:val="0"/>
        <w:adjustRightInd w:val="0"/>
        <w:ind w:leftChars="200" w:left="420"/>
        <w:rPr>
          <w:rFonts w:eastAsia="FangSong" w:cs="Times New Roman"/>
          <w:kern w:val="0"/>
          <w:sz w:val="24"/>
          <w:szCs w:val="24"/>
          <w:lang w:val="pl-PL"/>
        </w:rPr>
      </w:pPr>
      <w:r>
        <w:rPr>
          <w:rFonts w:cs="Times New Roman"/>
          <w:kern w:val="0"/>
          <w:sz w:val="24"/>
          <w:szCs w:val="24"/>
          <w:lang w:val="pl"/>
        </w:rPr>
        <w:t xml:space="preserve">Adres użytkownika końcowego (dokładny adres, nie skrytka pocztowa): </w:t>
      </w:r>
      <w:r>
        <w:rPr>
          <w:rFonts w:cs="Times New Roman"/>
          <w:kern w:val="0"/>
          <w:sz w:val="24"/>
          <w:szCs w:val="24"/>
          <w:highlight w:val="yellow"/>
          <w:lang w:val="pl"/>
        </w:rPr>
        <w:t>____________________</w:t>
      </w:r>
    </w:p>
    <w:p w14:paraId="130DA2D5" w14:textId="77777777" w:rsidR="005B63E8" w:rsidRPr="001C0E63" w:rsidRDefault="005B63E8">
      <w:pPr>
        <w:autoSpaceDE w:val="0"/>
        <w:autoSpaceDN w:val="0"/>
        <w:adjustRightInd w:val="0"/>
        <w:ind w:leftChars="200" w:left="420"/>
        <w:rPr>
          <w:rFonts w:eastAsia="FangSong" w:cs="Times New Roman"/>
          <w:kern w:val="0"/>
          <w:sz w:val="24"/>
          <w:szCs w:val="24"/>
          <w:lang w:val="pl-PL"/>
        </w:rPr>
      </w:pPr>
    </w:p>
    <w:p w14:paraId="0D2C9050" w14:textId="77777777" w:rsidR="005B63E8" w:rsidRPr="001C0E63" w:rsidRDefault="00000000">
      <w:pPr>
        <w:autoSpaceDE w:val="0"/>
        <w:autoSpaceDN w:val="0"/>
        <w:adjustRightInd w:val="0"/>
        <w:rPr>
          <w:rFonts w:eastAsia="FangSong" w:cs="Times New Roman"/>
          <w:kern w:val="0"/>
          <w:sz w:val="24"/>
          <w:szCs w:val="24"/>
          <w:lang w:val="pl-PL"/>
        </w:rPr>
      </w:pPr>
      <w:r>
        <w:rPr>
          <w:rFonts w:cs="Times New Roman"/>
          <w:kern w:val="0"/>
          <w:sz w:val="24"/>
          <w:szCs w:val="24"/>
          <w:lang w:val="pl"/>
        </w:rPr>
        <w:t>NINIEJSZYM, w celu zapewnienia określonej powyżej zgodności z przepisami, składam w imieniu Spółki następujące zapewnienia i oświadczam, co następuje:</w:t>
      </w:r>
    </w:p>
    <w:p w14:paraId="01A8F2C1" w14:textId="77777777" w:rsidR="005B63E8" w:rsidRPr="001C0E63" w:rsidRDefault="005B63E8">
      <w:pPr>
        <w:autoSpaceDE w:val="0"/>
        <w:autoSpaceDN w:val="0"/>
        <w:adjustRightInd w:val="0"/>
        <w:rPr>
          <w:rFonts w:eastAsia="FangSong" w:cs="Times New Roman"/>
          <w:kern w:val="0"/>
          <w:sz w:val="24"/>
          <w:szCs w:val="24"/>
          <w:lang w:val="pl-PL"/>
        </w:rPr>
      </w:pPr>
    </w:p>
    <w:p w14:paraId="4975979A" w14:textId="77777777" w:rsidR="005B63E8" w:rsidRPr="001C0E63" w:rsidRDefault="00000000">
      <w:pPr>
        <w:pStyle w:val="SFPara-Clause"/>
        <w:jc w:val="both"/>
        <w:rPr>
          <w:rFonts w:eastAsia="FangSong"/>
          <w:sz w:val="24"/>
          <w:szCs w:val="24"/>
          <w:lang w:val="pl-PL"/>
        </w:rPr>
      </w:pPr>
      <w:bookmarkStart w:id="0" w:name="a458321"/>
      <w:r>
        <w:rPr>
          <w:rStyle w:val="Title-Clause"/>
          <w:lang w:val="pl"/>
        </w:rPr>
        <w:t>WYMÓG OGÓLNY</w:t>
      </w:r>
      <w:r>
        <w:rPr>
          <w:rStyle w:val="Title-Clause"/>
          <w:u w:val="none"/>
          <w:lang w:val="pl"/>
        </w:rPr>
        <w:t>.</w:t>
      </w:r>
      <w:r>
        <w:rPr>
          <w:lang w:val="pl"/>
        </w:rPr>
        <w:t xml:space="preserve"> </w:t>
      </w:r>
      <w:bookmarkEnd w:id="0"/>
      <w:r>
        <w:rPr>
          <w:sz w:val="24"/>
          <w:szCs w:val="24"/>
          <w:lang w:val="pl"/>
        </w:rPr>
        <w:t>Jeżeli Spółka zamierza eksportować, reeksportować, przekazywać lub przesyłać (co będzie dalej zwane łącznie „</w:t>
      </w:r>
      <w:r>
        <w:rPr>
          <w:b/>
          <w:bCs/>
          <w:sz w:val="24"/>
          <w:szCs w:val="24"/>
          <w:lang w:val="pl"/>
        </w:rPr>
        <w:t>Eksportem</w:t>
      </w:r>
      <w:r>
        <w:rPr>
          <w:sz w:val="24"/>
          <w:szCs w:val="24"/>
          <w:lang w:val="pl"/>
        </w:rPr>
        <w:t>”) produkty, oprogramowanie bądź dane techniczne UIH (zwane dalej łącznie „</w:t>
      </w:r>
      <w:r>
        <w:rPr>
          <w:b/>
          <w:bCs/>
          <w:sz w:val="24"/>
          <w:szCs w:val="24"/>
          <w:lang w:val="pl"/>
        </w:rPr>
        <w:t>Dostawami</w:t>
      </w:r>
      <w:r>
        <w:rPr>
          <w:sz w:val="24"/>
          <w:szCs w:val="24"/>
          <w:lang w:val="pl"/>
        </w:rPr>
        <w:t>”) w związku z Projektem do jakichkolwiek innych organizacji lub osób, Spółka w odniesieniu do takiego Eksportu ma obowiązek ściśle przestrzegać: a) przepisów i regulacji Chińskiej Republiki Ludowej, w tym w szczególności chińskiej ustawy o kontroli eksportu; b) przepisów i regulacji Stanów Zjednoczonych, w tym w szczególności amerykańskich przepisów o kontroli eksportu (Export Administration Regulations – EAR) oraz wymogów administracyjnych ustanowionych przez amerykański Urząd Kontroli Aktywów Zagranicznych (Office of Foreign Asset Control – OFAC); oraz c) w stosownych przypadkach przepisów i regulacji Unii Europejskiej oraz Zjednoczonego Królestwa, w tym między innymi rozporządzenia (WE) nr 428/2009 (z późniejszymi zmianami), brytyjskiej ustawy o kontroli eksportu (UK Export Control Act) oraz brytyjskiego zarządzenia o kontroli eksportu (UK Export Control Order) (zwanych dalej łącznie „</w:t>
      </w:r>
      <w:r w:rsidRPr="00E4296D">
        <w:rPr>
          <w:b/>
          <w:bCs/>
          <w:sz w:val="24"/>
          <w:szCs w:val="24"/>
          <w:lang w:val="pl"/>
        </w:rPr>
        <w:t>Przepisami o Kontroli Eksportu</w:t>
      </w:r>
      <w:r>
        <w:rPr>
          <w:sz w:val="24"/>
          <w:szCs w:val="24"/>
          <w:lang w:val="pl"/>
        </w:rPr>
        <w:t xml:space="preserve">”). </w:t>
      </w:r>
    </w:p>
    <w:p w14:paraId="3F45BF58" w14:textId="77777777" w:rsidR="005B63E8" w:rsidRPr="001C0E63" w:rsidRDefault="00000000">
      <w:pPr>
        <w:pStyle w:val="SFPara-Clause"/>
        <w:jc w:val="both"/>
        <w:rPr>
          <w:sz w:val="24"/>
          <w:szCs w:val="24"/>
          <w:lang w:val="pl-PL"/>
        </w:rPr>
      </w:pPr>
      <w:r>
        <w:rPr>
          <w:rStyle w:val="Title-Clause"/>
          <w:lang w:val="pl"/>
        </w:rPr>
        <w:t>STATUS POD WZGLĘDEM SANKCJI.</w:t>
      </w:r>
      <w:r>
        <w:rPr>
          <w:rStyle w:val="Title-Clause"/>
          <w:u w:val="none"/>
          <w:lang w:val="pl"/>
        </w:rPr>
        <w:t xml:space="preserve"> Według naszej najlepszej wiedzy ani Spółka, ani jej pośrednik, spedytor czy użytkownik końcowy w Projekcie (zwane dalej łącznie „</w:t>
      </w:r>
      <w:r>
        <w:rPr>
          <w:rStyle w:val="Title-Clause"/>
          <w:b/>
          <w:bCs/>
          <w:u w:val="none"/>
          <w:lang w:val="pl"/>
        </w:rPr>
        <w:t>Podmiotami Powiązanymi</w:t>
      </w:r>
      <w:r>
        <w:rPr>
          <w:rStyle w:val="Title-Clause"/>
          <w:u w:val="none"/>
          <w:lang w:val="pl"/>
        </w:rPr>
        <w:t xml:space="preserve">”), ani też pracownicy Spółki/tych </w:t>
      </w:r>
      <w:r>
        <w:rPr>
          <w:rStyle w:val="Title-Clause"/>
          <w:u w:val="none"/>
          <w:lang w:val="pl"/>
        </w:rPr>
        <w:lastRenderedPageBreak/>
        <w:t>podmiotów nie są: a) zlokalizowani, zarejestrowani ani zamieszkali w kraju lub terytorium, które stanowi cel sankcji nałożonych na mocy Przepisów o Kontroli Eksportu; b) wymienieni na listach podmiotów objętych zakazami lub ograniczeniami utrzymywanych przez agencje wdrażające Przepisy o Kontroli Eksportu (zwanych dalej „</w:t>
      </w:r>
      <w:r>
        <w:rPr>
          <w:rStyle w:val="Title-Clause"/>
          <w:b/>
          <w:bCs/>
          <w:u w:val="none"/>
          <w:lang w:val="pl"/>
        </w:rPr>
        <w:t>Podmiotami Objętymi Ograniczeniami</w:t>
      </w:r>
      <w:r>
        <w:rPr>
          <w:rStyle w:val="Title-Clause"/>
          <w:u w:val="none"/>
          <w:lang w:val="pl"/>
        </w:rPr>
        <w:t>”); c) podmiotami będącymi bezpośrednio bądź pośrednio własnością ani znajdującymi się pod kontrolą któregokolwiek z Podmiotów Objętych Ograniczeniami. Bez ograniczenia do powyższego, Spółka wdrożyła odpowiednie zabezpieczenia organizacyjne, systemowe i techniczne w celu przestrzegania obowiązków zawartych w Kodeksie Etyki Dystrybutorów oraz zadba, aby Podmioty Powiązane były zobowiązane do przestrzegania klauzul umownych równoważnych z zawartymi w Kodeksie Etyki Dystrybutorów.</w:t>
      </w:r>
    </w:p>
    <w:p w14:paraId="71CA7473" w14:textId="7B7241A8" w:rsidR="005B63E8" w:rsidRPr="00E4296D" w:rsidRDefault="00000000">
      <w:pPr>
        <w:pStyle w:val="SFPara-Clause"/>
        <w:jc w:val="both"/>
        <w:rPr>
          <w:sz w:val="24"/>
          <w:szCs w:val="24"/>
          <w:lang w:val="pl-PL"/>
        </w:rPr>
      </w:pPr>
      <w:r w:rsidRPr="00E4296D">
        <w:rPr>
          <w:rStyle w:val="Title-Clause"/>
          <w:szCs w:val="24"/>
          <w:lang w:val="pl"/>
        </w:rPr>
        <w:t>WOJSKOWE KOŃCOWE PRZEZNACZENIE I UŻYTKOWNIK KOŃCOWY</w:t>
      </w:r>
      <w:r w:rsidRPr="00E4296D">
        <w:rPr>
          <w:sz w:val="24"/>
          <w:szCs w:val="24"/>
          <w:lang w:val="pl"/>
        </w:rPr>
        <w:t>.</w:t>
      </w:r>
      <w:r w:rsidR="00E4296D" w:rsidRPr="00E4296D">
        <w:rPr>
          <w:sz w:val="24"/>
          <w:szCs w:val="24"/>
          <w:lang w:val="pl"/>
        </w:rPr>
        <w:t xml:space="preserve"> </w:t>
      </w:r>
      <w:r w:rsidRPr="00E4296D">
        <w:rPr>
          <w:sz w:val="24"/>
          <w:szCs w:val="24"/>
          <w:lang w:val="pl"/>
        </w:rPr>
        <w:t>Ani Spółka ani jej Podmioty Powiązane nie są Wojskowymi Użytkownikami Końcowymi zgodnie z definicją poniżej i nie będą świadomie wykorzystywać Dostaw do celów Wojskowego Końcowego Przeznaczenia zgodnie z definicją poniżej:</w:t>
      </w:r>
    </w:p>
    <w:p w14:paraId="7EE245AD" w14:textId="77777777" w:rsidR="005B63E8" w:rsidRPr="001C0E63" w:rsidRDefault="00000000" w:rsidP="00E4296D">
      <w:pPr>
        <w:pStyle w:val="SFParasubclause1"/>
        <w:jc w:val="both"/>
        <w:rPr>
          <w:lang w:val="pl-PL"/>
        </w:rPr>
      </w:pPr>
      <w:r>
        <w:rPr>
          <w:rStyle w:val="Odwoaniedokomentarza"/>
          <w:sz w:val="24"/>
          <w:szCs w:val="24"/>
          <w:lang w:val="pl"/>
        </w:rPr>
        <w:t>Wojskowi Użytkownicy Końcowi obejmują w szczególności armię, marynarkę, siły powietrzne, piechotę morską, straż przybrzeżną, gwardię narodową/policję lub rządowe agencje wywiadowcze (zwane dalej łącznie „</w:t>
      </w:r>
      <w:r>
        <w:rPr>
          <w:rStyle w:val="Odwoaniedokomentarza"/>
          <w:b/>
          <w:bCs/>
          <w:sz w:val="24"/>
          <w:szCs w:val="24"/>
          <w:lang w:val="pl"/>
        </w:rPr>
        <w:t>Narodowymi Organizacjami Wojskowymi</w:t>
      </w:r>
      <w:r>
        <w:rPr>
          <w:rStyle w:val="Odwoaniedokomentarza"/>
          <w:sz w:val="24"/>
          <w:szCs w:val="24"/>
          <w:lang w:val="pl"/>
        </w:rPr>
        <w:t>”) bądź inne organizacje bądź osoby, których działania mają związek z Wojskowym Końcowym Przeznaczeniem. Każda organizacja wymieniona w dodatku nr 7 do części 744 tytułu 15 kodeksu przepisów federalnych (CFR) Stanów Zjednoczonych jest domyślnie uważana za wojskowego użytkownika końcowego;</w:t>
      </w:r>
    </w:p>
    <w:p w14:paraId="4997FF40" w14:textId="77777777" w:rsidR="005B63E8" w:rsidRPr="001C0E63" w:rsidRDefault="00000000">
      <w:pPr>
        <w:pStyle w:val="SFParasubclause1"/>
        <w:jc w:val="both"/>
        <w:rPr>
          <w:lang w:val="pl-PL"/>
        </w:rPr>
      </w:pPr>
      <w:r>
        <w:rPr>
          <w:lang w:val="pl"/>
        </w:rPr>
        <w:t>Wojskowe Końcowe Przeznaczenie obejmuje projekty związane ze wsparciem lub umożliwieniem eksploatacji, instalacji, konserwacji, napraw, remontów, modernizacji, opracowywania lub produkcji artykułów wojskowych;</w:t>
      </w:r>
    </w:p>
    <w:p w14:paraId="67280866" w14:textId="77777777" w:rsidR="005B63E8" w:rsidRPr="001C0E63" w:rsidRDefault="00000000">
      <w:pPr>
        <w:pStyle w:val="SFParasubclause1"/>
        <w:jc w:val="both"/>
        <w:rPr>
          <w:lang w:val="pl-PL"/>
        </w:rPr>
      </w:pPr>
      <w:r>
        <w:rPr>
          <w:lang w:val="pl"/>
        </w:rPr>
        <w:t>Jeżeli dowolny z Podmiotów Powiązanych jest szpitalem polowym, taki szpital polowy będzie uważany za Wojskowego Użytkownika Końcowego, jeżeli spełnia WSZYSTKIE poniższe warunki: i) jest kontrolowany przez Narodową Organizację Wojskową lub jest własnością Narodowej Organizacji Wojskowej; ii) pacjenci, których przyjmuje, to wyłącznie lub w przeważającej mierze członkowie Narodowych Organizacji Wojskowych, nie zaś ogół społeczeństwa; oraz iii) celem Projektu jest dostarczenie artykułów wojskowych Narodowym Organizacjom Wojskowym;</w:t>
      </w:r>
      <w:r>
        <w:rPr>
          <w:rStyle w:val="Odwoaniedokomentarza"/>
          <w:sz w:val="24"/>
          <w:szCs w:val="24"/>
          <w:lang w:val="pl"/>
        </w:rPr>
        <w:t xml:space="preserve"> </w:t>
      </w:r>
    </w:p>
    <w:p w14:paraId="05D71C35" w14:textId="77777777" w:rsidR="005B63E8" w:rsidRPr="001C0E63" w:rsidRDefault="00000000">
      <w:pPr>
        <w:pStyle w:val="SFParasubclause1"/>
        <w:jc w:val="both"/>
        <w:rPr>
          <w:rStyle w:val="Odwoaniedokomentarza"/>
          <w:rFonts w:eastAsia="FangSong"/>
          <w:sz w:val="24"/>
          <w:szCs w:val="24"/>
          <w:lang w:val="pl-PL"/>
        </w:rPr>
      </w:pPr>
      <w:r>
        <w:rPr>
          <w:rStyle w:val="Odwoaniedokomentarza"/>
          <w:sz w:val="24"/>
          <w:szCs w:val="24"/>
          <w:lang w:val="pl"/>
        </w:rPr>
        <w:lastRenderedPageBreak/>
        <w:t>Jeżeli Projekt nie spełnia żadnego z powyższych warunków, lecz jest finansowany lub sponsorowany przez Narodową Organizację Wojskową, Spółka ujawni w odpowiednim terminie taką informację, przekazując ją na adres UIH ds. zgodności z przepisami (compliance@united-imaging.com) w celu uzyskania instrukcji co do dalszego działania.</w:t>
      </w:r>
    </w:p>
    <w:p w14:paraId="2861C6FE" w14:textId="77777777" w:rsidR="005B63E8" w:rsidRPr="001C0E63" w:rsidRDefault="00000000">
      <w:pPr>
        <w:pStyle w:val="SFPara-Clause"/>
        <w:jc w:val="both"/>
        <w:rPr>
          <w:sz w:val="24"/>
          <w:szCs w:val="24"/>
          <w:lang w:val="pl-PL"/>
        </w:rPr>
      </w:pPr>
      <w:r>
        <w:rPr>
          <w:rStyle w:val="Odwoaniedokomentarza"/>
          <w:rFonts w:eastAsia="FangSong"/>
          <w:sz w:val="24"/>
          <w:szCs w:val="24"/>
          <w:u w:val="single"/>
          <w:lang w:val="pl"/>
        </w:rPr>
        <w:t>ZAKAZANE KOŃCOWE PRZEZNACZENIE.</w:t>
      </w:r>
      <w:r>
        <w:rPr>
          <w:rStyle w:val="Odwoaniedokomentarza"/>
          <w:rFonts w:eastAsia="FangSong"/>
          <w:sz w:val="24"/>
          <w:szCs w:val="24"/>
          <w:lang w:val="pl"/>
        </w:rPr>
        <w:t xml:space="preserve"> </w:t>
      </w:r>
      <w:r>
        <w:rPr>
          <w:sz w:val="24"/>
          <w:szCs w:val="24"/>
          <w:lang w:val="pl"/>
        </w:rPr>
        <w:t>Spółka i Podmioty Powiązane nie mogą świadomie, w części ani w całości, uczestniczyć lub pomagać w realizacji dowolnych projektów związanych z wytwarzaniem energii jądrowej, bronią chemiczną, biologiczną lub jądrową oraz objętych innymi sankcjami handlowymi, embargami bądź ograniczeniami wynikającymi z Przepisów o Kontroli Eksportu (zwanych dalej łącznie „</w:t>
      </w:r>
      <w:r>
        <w:rPr>
          <w:b/>
          <w:bCs/>
          <w:sz w:val="24"/>
          <w:szCs w:val="24"/>
          <w:lang w:val="pl"/>
        </w:rPr>
        <w:t>Zakazanym Końcowym Przeznaczeniem</w:t>
      </w:r>
      <w:r>
        <w:rPr>
          <w:sz w:val="24"/>
          <w:szCs w:val="24"/>
          <w:lang w:val="pl"/>
        </w:rPr>
        <w:t>”), ani też nie będą uczestniczyć w projektowaniu, opracowywaniu lub wytwarzaniu produktów, komponentów, oprogramowania bądź technologii do bezpośredniego lub pośredniego wykorzystania do celów takiego Zakazanego Końcowego Przeznaczenia.</w:t>
      </w:r>
    </w:p>
    <w:p w14:paraId="4A1BB86B" w14:textId="77777777" w:rsidR="005B63E8" w:rsidRPr="001C0E63" w:rsidRDefault="00000000">
      <w:pPr>
        <w:pStyle w:val="SFPara-Clause"/>
        <w:jc w:val="both"/>
        <w:rPr>
          <w:sz w:val="24"/>
          <w:szCs w:val="24"/>
          <w:lang w:val="pl-PL"/>
        </w:rPr>
      </w:pPr>
      <w:r>
        <w:rPr>
          <w:sz w:val="24"/>
          <w:szCs w:val="24"/>
          <w:u w:val="single"/>
          <w:lang w:val="pl"/>
        </w:rPr>
        <w:t xml:space="preserve">RACJONALNA TRASA TRANSPORTU. </w:t>
      </w:r>
      <w:r>
        <w:rPr>
          <w:sz w:val="24"/>
          <w:szCs w:val="24"/>
          <w:lang w:val="pl"/>
        </w:rPr>
        <w:t>Jeżeli trasa transportu jest ustalana przez Spółkę, wówczas obszar tranzytowy lub miasto, przez które eksportowane są produkty, musi być racjonalne w danych okolicznościach oraz nie może dochodzić do ukrytego Eksportu do krajów lub terytoriów objętych embargiem za pośrednictwem miast i portów.</w:t>
      </w:r>
    </w:p>
    <w:p w14:paraId="247EB8EA" w14:textId="77777777" w:rsidR="005B63E8" w:rsidRPr="001C0E63" w:rsidRDefault="00000000">
      <w:pPr>
        <w:pStyle w:val="SFPara-Clause"/>
        <w:jc w:val="both"/>
        <w:rPr>
          <w:sz w:val="24"/>
          <w:szCs w:val="24"/>
          <w:lang w:val="pl-PL"/>
        </w:rPr>
      </w:pPr>
      <w:r>
        <w:rPr>
          <w:sz w:val="24"/>
          <w:szCs w:val="24"/>
          <w:u w:val="single"/>
          <w:lang w:val="pl"/>
        </w:rPr>
        <w:t>BIEŻĄCE PRZEKAZYWANIE INFORMACJI.</w:t>
      </w:r>
      <w:r>
        <w:rPr>
          <w:sz w:val="24"/>
          <w:szCs w:val="24"/>
          <w:lang w:val="pl"/>
        </w:rPr>
        <w:t xml:space="preserve"> W przypadku zmiany powyższych informacji Spółka ma obowiązek niezwłocznie zawiadomić UIH w formie pisemnej. UIH zastrzega sobie prawo do zażądania w każdej chwili uaktualnionego oświadczenia oraz potwierdzenia, czy Projekt spełnia wymogi zgodności z przepisami określone powyżej. UIH MOŻE ZADECYDOWAĆ WEDŁUG WŁASNEGO UZNANIA O REALIZACJI, ZAWIESZENIU LUB MODYFIKACJI PROJEKTU Z ZASTRZEŻENIEM ZACHOWANIA ZGODNOŚCI Z PRZEPISAMI O KONTROLI EKSPORTU.</w:t>
      </w:r>
    </w:p>
    <w:p w14:paraId="2C88ACE5" w14:textId="77777777" w:rsidR="005B63E8" w:rsidRPr="001C0E63" w:rsidRDefault="005B63E8">
      <w:pPr>
        <w:autoSpaceDE w:val="0"/>
        <w:autoSpaceDN w:val="0"/>
        <w:adjustRightInd w:val="0"/>
        <w:ind w:leftChars="200" w:left="420"/>
        <w:rPr>
          <w:rFonts w:eastAsia="FangSong" w:cs="Times New Roman"/>
          <w:kern w:val="0"/>
          <w:sz w:val="24"/>
          <w:szCs w:val="24"/>
          <w:lang w:val="pl-PL"/>
        </w:rPr>
      </w:pPr>
    </w:p>
    <w:p w14:paraId="125D9666" w14:textId="77777777" w:rsidR="005B63E8" w:rsidRPr="001C0E63" w:rsidRDefault="00000000">
      <w:pPr>
        <w:autoSpaceDE w:val="0"/>
        <w:autoSpaceDN w:val="0"/>
        <w:adjustRightInd w:val="0"/>
        <w:rPr>
          <w:rFonts w:eastAsia="FangSong" w:cs="Times New Roman"/>
          <w:kern w:val="0"/>
          <w:sz w:val="24"/>
          <w:szCs w:val="24"/>
          <w:lang w:val="pl-PL"/>
        </w:rPr>
      </w:pPr>
      <w:r>
        <w:rPr>
          <w:rFonts w:cs="Times New Roman"/>
          <w:b/>
          <w:bCs/>
          <w:kern w:val="0"/>
          <w:sz w:val="24"/>
          <w:szCs w:val="24"/>
          <w:lang w:val="pl"/>
        </w:rPr>
        <w:t>ZOBOWIĄZUJEMY SIĘ WYPŁACIĆ UIH ODSZKODOWANIE ORAZ ZABEZPIECZYĆ I CHRONIĆ UIH PRZED WSZELKIMI STRATAMI, ROSZCZENIAMI, POZWAMI ORAZ KOSZTAMI WYNIKAJĄCYMI ZE WSZELKICH NIEPRAWDZIWYCH LUB NIEPEŁNYCH INFORMACJI PODANYCH W NINIEJSZYM DOKUMENCIE BĄDŹ NARUSZENIA PRZEZ SPÓŁKĘ POSTANOWIEŃ ZAWARTYCH W NINIEJSZYM DOKUMENCIE.</w:t>
      </w:r>
    </w:p>
    <w:p w14:paraId="2B5F8C4A" w14:textId="77777777" w:rsidR="005B63E8" w:rsidRPr="001C0E63" w:rsidRDefault="005B63E8">
      <w:pPr>
        <w:autoSpaceDE w:val="0"/>
        <w:autoSpaceDN w:val="0"/>
        <w:adjustRightInd w:val="0"/>
        <w:rPr>
          <w:rFonts w:eastAsia="FangSong" w:cs="Times New Roman"/>
          <w:kern w:val="0"/>
          <w:sz w:val="24"/>
          <w:szCs w:val="24"/>
          <w:lang w:val="pl-PL"/>
        </w:rPr>
      </w:pPr>
    </w:p>
    <w:p w14:paraId="0B95C66E" w14:textId="77777777" w:rsidR="005B63E8" w:rsidRDefault="00000000">
      <w:pPr>
        <w:rPr>
          <w:rFonts w:eastAsia="FangSong" w:cs="Times New Roman"/>
          <w:kern w:val="0"/>
          <w:sz w:val="24"/>
          <w:szCs w:val="24"/>
        </w:rPr>
      </w:pPr>
      <w:r>
        <w:rPr>
          <w:rFonts w:cs="Times New Roman"/>
          <w:sz w:val="24"/>
          <w:szCs w:val="24"/>
          <w:lang w:val="pl"/>
        </w:rPr>
        <w:t>Uwaga: niniejsze Oświadczenie nie gwarantuje zawarcia jakiejkolwiek transakcji z UIH, ani też nie określa praw i obowiązków UIH. Stosowne prawa i obowiązki zostaną określone w umowie/porozumieniu.</w:t>
      </w:r>
    </w:p>
    <w:p w14:paraId="0BEA31BF" w14:textId="77777777" w:rsidR="005B63E8" w:rsidRDefault="00000000">
      <w:pPr>
        <w:jc w:val="center"/>
        <w:rPr>
          <w:rFonts w:eastAsia="FangSong" w:cs="Times New Roman"/>
          <w:sz w:val="24"/>
          <w:szCs w:val="24"/>
        </w:rPr>
      </w:pPr>
      <w:r>
        <w:rPr>
          <w:rFonts w:eastAsia="FangSong" w:cs="Times New Roman"/>
          <w:kern w:val="0"/>
          <w:sz w:val="24"/>
          <w:szCs w:val="24"/>
          <w:lang w:val="pl"/>
        </w:rPr>
        <w:br/>
      </w:r>
      <w:r>
        <w:rPr>
          <w:lang w:val="pl"/>
        </w:rPr>
        <w:t>***</w:t>
      </w:r>
    </w:p>
    <w:tbl>
      <w:tblPr>
        <w:tblW w:w="4464" w:type="dxa"/>
        <w:tblLayout w:type="fixed"/>
        <w:tblLook w:val="04A0" w:firstRow="1" w:lastRow="0" w:firstColumn="1" w:lastColumn="0" w:noHBand="0" w:noVBand="1"/>
      </w:tblPr>
      <w:tblGrid>
        <w:gridCol w:w="4464"/>
      </w:tblGrid>
      <w:tr w:rsidR="005B63E8" w14:paraId="10BA13AE" w14:textId="77777777">
        <w:trPr>
          <w:trHeight w:val="2350"/>
        </w:trPr>
        <w:tc>
          <w:tcPr>
            <w:tcW w:w="4464" w:type="dxa"/>
          </w:tcPr>
          <w:p w14:paraId="32832050" w14:textId="77777777" w:rsidR="005B63E8" w:rsidRPr="001C0E63" w:rsidRDefault="005B63E8">
            <w:pPr>
              <w:pStyle w:val="Default"/>
              <w:jc w:val="both"/>
              <w:rPr>
                <w:rFonts w:ascii="Times New Roman" w:eastAsia="FangSong" w:hAnsi="Times New Roman" w:cs="Times New Roman"/>
                <w:lang w:val="pl-PL"/>
              </w:rPr>
            </w:pPr>
          </w:p>
          <w:p w14:paraId="6B7B722E" w14:textId="77777777" w:rsidR="005B63E8" w:rsidRPr="001C0E63" w:rsidRDefault="005B63E8">
            <w:pPr>
              <w:pStyle w:val="Default"/>
              <w:pBdr>
                <w:bottom w:val="single" w:sz="12" w:space="1" w:color="auto"/>
              </w:pBdr>
              <w:jc w:val="both"/>
              <w:rPr>
                <w:rFonts w:ascii="Times New Roman" w:eastAsia="FangSong" w:hAnsi="Times New Roman" w:cs="Times New Roman"/>
                <w:lang w:val="pl-PL"/>
              </w:rPr>
            </w:pPr>
          </w:p>
          <w:p w14:paraId="79D835BC" w14:textId="77777777" w:rsidR="005B63E8" w:rsidRPr="001C0E63" w:rsidRDefault="005B63E8">
            <w:pPr>
              <w:pStyle w:val="Default"/>
              <w:pBdr>
                <w:bottom w:val="single" w:sz="12" w:space="1" w:color="auto"/>
              </w:pBdr>
              <w:jc w:val="both"/>
              <w:rPr>
                <w:rFonts w:ascii="Times New Roman" w:eastAsia="FangSong" w:hAnsi="Times New Roman" w:cs="Times New Roman"/>
                <w:lang w:val="pl-PL"/>
              </w:rPr>
            </w:pPr>
          </w:p>
          <w:p w14:paraId="76926434" w14:textId="77777777" w:rsidR="005B63E8" w:rsidRPr="001C0E63" w:rsidRDefault="005B63E8">
            <w:pPr>
              <w:pStyle w:val="Default"/>
              <w:pBdr>
                <w:bottom w:val="single" w:sz="12" w:space="1" w:color="auto"/>
              </w:pBdr>
              <w:jc w:val="both"/>
              <w:rPr>
                <w:rFonts w:ascii="Times New Roman" w:eastAsia="FangSong" w:hAnsi="Times New Roman" w:cs="Times New Roman"/>
                <w:lang w:val="pl-PL"/>
              </w:rPr>
            </w:pPr>
          </w:p>
          <w:p w14:paraId="691B2948" w14:textId="77777777" w:rsidR="005B63E8" w:rsidRPr="001C0E63" w:rsidRDefault="00000000">
            <w:pPr>
              <w:pStyle w:val="Default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"/>
              </w:rPr>
              <w:t>Podpis upoważnionej osoby lub pieczęć firmowa</w:t>
            </w:r>
          </w:p>
          <w:p w14:paraId="520B9BE0" w14:textId="77777777" w:rsidR="005B63E8" w:rsidRPr="001C0E63" w:rsidRDefault="005B63E8">
            <w:pPr>
              <w:pStyle w:val="Default"/>
              <w:pBdr>
                <w:bottom w:val="single" w:sz="12" w:space="1" w:color="auto"/>
              </w:pBdr>
              <w:jc w:val="both"/>
              <w:rPr>
                <w:rFonts w:ascii="Times New Roman" w:eastAsia="FangSong" w:hAnsi="Times New Roman" w:cs="Times New Roman"/>
                <w:lang w:val="pl-PL"/>
              </w:rPr>
            </w:pPr>
          </w:p>
          <w:p w14:paraId="2267CFB8" w14:textId="77777777" w:rsidR="005B63E8" w:rsidRPr="001C0E63" w:rsidRDefault="005B63E8">
            <w:pPr>
              <w:pStyle w:val="Default"/>
              <w:pBdr>
                <w:bottom w:val="single" w:sz="12" w:space="1" w:color="auto"/>
              </w:pBdr>
              <w:jc w:val="both"/>
              <w:rPr>
                <w:rFonts w:ascii="Times New Roman" w:eastAsia="FangSong" w:hAnsi="Times New Roman" w:cs="Times New Roman"/>
                <w:lang w:val="pl-PL"/>
              </w:rPr>
            </w:pPr>
          </w:p>
          <w:p w14:paraId="03989C8A" w14:textId="77777777" w:rsidR="005B63E8" w:rsidRDefault="00000000">
            <w:pPr>
              <w:pStyle w:val="Default"/>
              <w:jc w:val="both"/>
              <w:rPr>
                <w:rFonts w:ascii="Times New Roman" w:eastAsia="FangSong" w:hAnsi="Times New Roman" w:cs="Times New Roman"/>
              </w:rPr>
            </w:pPr>
            <w:r>
              <w:rPr>
                <w:rFonts w:ascii="Times New Roman" w:hAnsi="Times New Roman" w:cs="Times New Roman"/>
                <w:lang w:val="pl"/>
              </w:rPr>
              <w:t>Data</w:t>
            </w:r>
          </w:p>
        </w:tc>
      </w:tr>
    </w:tbl>
    <w:p w14:paraId="4D91C0DE" w14:textId="77777777" w:rsidR="005B63E8" w:rsidRDefault="005B63E8">
      <w:pPr>
        <w:rPr>
          <w:rFonts w:eastAsia="FangSong" w:cs="Times New Roman"/>
          <w:sz w:val="24"/>
          <w:szCs w:val="24"/>
        </w:rPr>
      </w:pPr>
    </w:p>
    <w:p w14:paraId="6BA0E980" w14:textId="77777777" w:rsidR="005B63E8" w:rsidRDefault="005B63E8">
      <w:pPr>
        <w:rPr>
          <w:rFonts w:eastAsia="FangSong" w:cs="Times New Roman"/>
          <w:sz w:val="24"/>
          <w:szCs w:val="24"/>
        </w:rPr>
      </w:pPr>
    </w:p>
    <w:p w14:paraId="172AC013" w14:textId="77777777" w:rsidR="005B63E8" w:rsidRDefault="005B63E8">
      <w:pPr>
        <w:rPr>
          <w:rFonts w:eastAsia="FangSong" w:cs="Times New Roman"/>
          <w:sz w:val="24"/>
          <w:szCs w:val="24"/>
        </w:rPr>
      </w:pPr>
    </w:p>
    <w:p w14:paraId="5E175405" w14:textId="77777777" w:rsidR="005B63E8" w:rsidRDefault="005B63E8">
      <w:pPr>
        <w:pStyle w:val="Tekstkomentarza"/>
        <w:rPr>
          <w:rFonts w:eastAsia="FangSong" w:cs="Times New Roman"/>
          <w:sz w:val="24"/>
          <w:szCs w:val="24"/>
        </w:rPr>
      </w:pPr>
    </w:p>
    <w:p w14:paraId="3FFF29B8" w14:textId="77777777" w:rsidR="005B63E8" w:rsidRDefault="005B63E8">
      <w:pPr>
        <w:rPr>
          <w:rFonts w:eastAsia="FangSong" w:cs="Times New Roman"/>
          <w:i/>
          <w:iCs/>
          <w:sz w:val="24"/>
          <w:szCs w:val="24"/>
        </w:rPr>
      </w:pPr>
    </w:p>
    <w:sectPr w:rsidR="005B63E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65C1" w14:textId="77777777" w:rsidR="0005171C" w:rsidRDefault="0005171C">
      <w:r>
        <w:separator/>
      </w:r>
    </w:p>
  </w:endnote>
  <w:endnote w:type="continuationSeparator" w:id="0">
    <w:p w14:paraId="3FCECB62" w14:textId="77777777" w:rsidR="0005171C" w:rsidRDefault="0005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;Yu Gothic UI">
    <w:altName w:val="Segoe Print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43972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 w14:paraId="23C783E0" w14:textId="77777777" w:rsidR="005B63E8" w:rsidRDefault="00000000">
            <w:pPr>
              <w:pStyle w:val="Stopka"/>
              <w:jc w:val="center"/>
            </w:pPr>
            <w:r>
              <w:rPr>
                <w:lang w:val="pl"/>
              </w:rPr>
              <w:t xml:space="preserve"> </w:t>
            </w:r>
            <w:r>
              <w:rPr>
                <w:sz w:val="24"/>
                <w:szCs w:val="24"/>
                <w:lang w:val="pl"/>
              </w:rPr>
              <w:fldChar w:fldCharType="begin"/>
            </w:r>
            <w:r>
              <w:rPr>
                <w:lang w:val="pl"/>
              </w:rPr>
              <w:instrText>PAGE</w:instrText>
            </w:r>
            <w:r>
              <w:rPr>
                <w:sz w:val="24"/>
                <w:szCs w:val="24"/>
                <w:lang w:val="pl"/>
              </w:rPr>
              <w:fldChar w:fldCharType="separate"/>
            </w:r>
            <w:r>
              <w:rPr>
                <w:b/>
                <w:bCs/>
                <w:lang w:val="pl"/>
              </w:rPr>
              <w:t>2</w:t>
            </w:r>
            <w:r>
              <w:rPr>
                <w:sz w:val="24"/>
                <w:szCs w:val="24"/>
                <w:lang w:val="pl"/>
              </w:rPr>
              <w:fldChar w:fldCharType="end"/>
            </w:r>
            <w:r>
              <w:rPr>
                <w:lang w:val="pl"/>
              </w:rPr>
              <w:t xml:space="preserve"> / </w:t>
            </w:r>
            <w:r>
              <w:rPr>
                <w:sz w:val="24"/>
                <w:szCs w:val="24"/>
                <w:lang w:val="pl"/>
              </w:rPr>
              <w:fldChar w:fldCharType="begin"/>
            </w:r>
            <w:r>
              <w:rPr>
                <w:lang w:val="pl"/>
              </w:rPr>
              <w:instrText>NUMPAGES</w:instrText>
            </w:r>
            <w:r>
              <w:rPr>
                <w:sz w:val="24"/>
                <w:szCs w:val="24"/>
                <w:lang w:val="pl"/>
              </w:rPr>
              <w:fldChar w:fldCharType="separate"/>
            </w:r>
            <w:r>
              <w:rPr>
                <w:b/>
                <w:bCs/>
                <w:lang w:val="pl"/>
              </w:rPr>
              <w:t>3</w:t>
            </w:r>
            <w:r>
              <w:rPr>
                <w:sz w:val="24"/>
                <w:szCs w:val="24"/>
                <w:lang w:val="pl"/>
              </w:rPr>
              <w:fldChar w:fldCharType="end"/>
            </w:r>
          </w:p>
        </w:sdtContent>
      </w:sdt>
    </w:sdtContent>
  </w:sdt>
  <w:p w14:paraId="381AFC5F" w14:textId="77777777" w:rsidR="005B63E8" w:rsidRDefault="005B6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18DD" w14:textId="77777777" w:rsidR="0005171C" w:rsidRDefault="0005171C">
      <w:r>
        <w:separator/>
      </w:r>
    </w:p>
  </w:footnote>
  <w:footnote w:type="continuationSeparator" w:id="0">
    <w:p w14:paraId="054AA739" w14:textId="77777777" w:rsidR="0005171C" w:rsidRDefault="0005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BE1A" w14:textId="044812FD" w:rsidR="005B63E8" w:rsidRPr="001C0E63" w:rsidRDefault="00000000">
    <w:pPr>
      <w:pStyle w:val="Adreszwrotnynakopercie"/>
      <w:widowControl/>
      <w:tabs>
        <w:tab w:val="left" w:pos="8640"/>
      </w:tabs>
      <w:ind w:right="-540"/>
      <w:jc w:val="left"/>
      <w:rPr>
        <w:rFonts w:ascii="Times New Roman" w:hAnsi="Times New Roman" w:hint="default"/>
        <w:lang w:val="pl-PL"/>
      </w:rPr>
    </w:pPr>
    <w:r>
      <w:rPr>
        <w:rFonts w:ascii="Times New Roman" w:hAnsi="Times New Roman"/>
        <w:noProof/>
        <w:lang w:val="pl"/>
      </w:rPr>
      <w:drawing>
        <wp:anchor distT="0" distB="0" distL="114300" distR="114300" simplePos="0" relativeHeight="251659264" behindDoc="0" locked="0" layoutInCell="1" allowOverlap="1" wp14:anchorId="6E83CEEE" wp14:editId="51A67FC3">
          <wp:simplePos x="0" y="0"/>
          <wp:positionH relativeFrom="margin">
            <wp:posOffset>3521710</wp:posOffset>
          </wp:positionH>
          <wp:positionV relativeFrom="paragraph">
            <wp:posOffset>-117475</wp:posOffset>
          </wp:positionV>
          <wp:extent cx="1743075" cy="401955"/>
          <wp:effectExtent l="0" t="0" r="9525" b="0"/>
          <wp:wrapNone/>
          <wp:docPr id="1" name="图片 1" descr="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lang w:val="pl"/>
      </w:rPr>
      <w:t>Dzia</w:t>
    </w:r>
    <w:r>
      <w:rPr>
        <w:rFonts w:ascii="Times New Roman" w:hAnsi="Times New Roman"/>
        <w:lang w:val="pl"/>
      </w:rPr>
      <w:t>ł</w:t>
    </w:r>
    <w:r>
      <w:rPr>
        <w:rFonts w:ascii="Times New Roman" w:hAnsi="Times New Roman"/>
        <w:lang w:val="pl"/>
      </w:rPr>
      <w:t xml:space="preserve"> ds. Prawnych i Zgodno</w:t>
    </w:r>
    <w:r>
      <w:rPr>
        <w:rFonts w:ascii="Times New Roman" w:hAnsi="Times New Roman"/>
        <w:lang w:val="pl"/>
      </w:rPr>
      <w:t>ś</w:t>
    </w:r>
    <w:r>
      <w:rPr>
        <w:rFonts w:ascii="Times New Roman" w:hAnsi="Times New Roman"/>
        <w:lang w:val="pl"/>
      </w:rPr>
      <w:t xml:space="preserve">ci z Przepisami Centrali UIH </w:t>
    </w:r>
    <w:r w:rsidR="00E4296D">
      <w:rPr>
        <w:rFonts w:ascii="Times New Roman" w:hAnsi="Times New Roman" w:hint="default"/>
        <w:lang w:val="pl"/>
      </w:rPr>
      <w:br/>
    </w:r>
    <w:r>
      <w:rPr>
        <w:rFonts w:ascii="Times New Roman" w:hAnsi="Times New Roman"/>
        <w:lang w:val="pl"/>
      </w:rPr>
      <w:t>–</w:t>
    </w:r>
    <w:r>
      <w:rPr>
        <w:rFonts w:ascii="Times New Roman" w:hAnsi="Times New Roman"/>
        <w:lang w:val="pl"/>
      </w:rPr>
      <w:t xml:space="preserve"> wersja 6,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39D3"/>
    <w:multiLevelType w:val="multilevel"/>
    <w:tmpl w:val="EBDAC630"/>
    <w:lvl w:ilvl="0">
      <w:start w:val="1"/>
      <w:numFmt w:val="decimal"/>
      <w:pStyle w:val="SFPara-Clause"/>
      <w:lvlText w:val="%1."/>
      <w:lvlJc w:val="left"/>
      <w:pPr>
        <w:tabs>
          <w:tab w:val="left" w:pos="1440"/>
        </w:tabs>
        <w:ind w:left="0" w:firstLine="72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pStyle w:val="SFParasubclause1"/>
      <w:lvlText w:val="%2)"/>
      <w:lvlJc w:val="left"/>
      <w:pPr>
        <w:ind w:left="1800" w:hanging="360"/>
      </w:pPr>
    </w:lvl>
    <w:lvl w:ilvl="2">
      <w:start w:val="1"/>
      <w:numFmt w:val="lowerRoman"/>
      <w:pStyle w:val="SFParasubclause2"/>
      <w:lvlText w:val="(%3)"/>
      <w:lvlJc w:val="left"/>
      <w:pPr>
        <w:tabs>
          <w:tab w:val="left" w:pos="2880"/>
        </w:tabs>
        <w:ind w:left="1440" w:firstLine="720"/>
      </w:pPr>
      <w:rPr>
        <w:rFonts w:hint="default"/>
        <w:color w:val="000000"/>
      </w:rPr>
    </w:lvl>
    <w:lvl w:ilvl="3">
      <w:start w:val="1"/>
      <w:numFmt w:val="upperLetter"/>
      <w:pStyle w:val="SFParasubclause3"/>
      <w:lvlText w:val="(%4)"/>
      <w:lvlJc w:val="left"/>
      <w:pPr>
        <w:tabs>
          <w:tab w:val="left" w:pos="3600"/>
        </w:tabs>
        <w:ind w:left="2160" w:firstLine="720"/>
      </w:pPr>
      <w:rPr>
        <w:rFonts w:hint="default"/>
        <w:color w:val="000000"/>
      </w:rPr>
    </w:lvl>
    <w:lvl w:ilvl="4">
      <w:start w:val="1"/>
      <w:numFmt w:val="none"/>
      <w:lvlText w:val=""/>
      <w:lvlJc w:val="left"/>
      <w:pPr>
        <w:tabs>
          <w:tab w:val="left" w:pos="3600"/>
        </w:tabs>
        <w:ind w:left="4320" w:hanging="72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left" w:pos="4320"/>
        </w:tabs>
        <w:ind w:left="504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left" w:pos="5040"/>
        </w:tabs>
        <w:ind w:left="57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5760"/>
        </w:tabs>
        <w:ind w:left="64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6480"/>
        </w:tabs>
        <w:ind w:left="7200" w:hanging="720"/>
      </w:pPr>
      <w:rPr>
        <w:rFonts w:hint="default"/>
      </w:rPr>
    </w:lvl>
  </w:abstractNum>
  <w:num w:numId="1" w16cid:durableId="125894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89"/>
    <w:rsid w:val="00001E53"/>
    <w:rsid w:val="00031A31"/>
    <w:rsid w:val="000321E1"/>
    <w:rsid w:val="00037E6F"/>
    <w:rsid w:val="0005171C"/>
    <w:rsid w:val="00053D74"/>
    <w:rsid w:val="0005587E"/>
    <w:rsid w:val="000A501E"/>
    <w:rsid w:val="000B443C"/>
    <w:rsid w:val="000C4F05"/>
    <w:rsid w:val="000D104E"/>
    <w:rsid w:val="00110C5F"/>
    <w:rsid w:val="001C0E63"/>
    <w:rsid w:val="00205198"/>
    <w:rsid w:val="002132A1"/>
    <w:rsid w:val="00237567"/>
    <w:rsid w:val="00263497"/>
    <w:rsid w:val="002705B6"/>
    <w:rsid w:val="00282108"/>
    <w:rsid w:val="002D2F0E"/>
    <w:rsid w:val="002E0ADD"/>
    <w:rsid w:val="00327AC7"/>
    <w:rsid w:val="00336965"/>
    <w:rsid w:val="00351C19"/>
    <w:rsid w:val="00361615"/>
    <w:rsid w:val="00364EB6"/>
    <w:rsid w:val="003727BA"/>
    <w:rsid w:val="003B72A0"/>
    <w:rsid w:val="003D40F9"/>
    <w:rsid w:val="0042223B"/>
    <w:rsid w:val="00424709"/>
    <w:rsid w:val="0048320E"/>
    <w:rsid w:val="004C4C2A"/>
    <w:rsid w:val="004E31EC"/>
    <w:rsid w:val="004F572F"/>
    <w:rsid w:val="005109F0"/>
    <w:rsid w:val="00520C5C"/>
    <w:rsid w:val="00554DA7"/>
    <w:rsid w:val="00562BF3"/>
    <w:rsid w:val="005747F7"/>
    <w:rsid w:val="005B63E8"/>
    <w:rsid w:val="005E1507"/>
    <w:rsid w:val="0060387E"/>
    <w:rsid w:val="00634F5C"/>
    <w:rsid w:val="00643412"/>
    <w:rsid w:val="00647909"/>
    <w:rsid w:val="00653B37"/>
    <w:rsid w:val="00680415"/>
    <w:rsid w:val="006D4088"/>
    <w:rsid w:val="006E5FBF"/>
    <w:rsid w:val="00721B96"/>
    <w:rsid w:val="00734EBB"/>
    <w:rsid w:val="0078379A"/>
    <w:rsid w:val="00797834"/>
    <w:rsid w:val="007B2A92"/>
    <w:rsid w:val="007B6E50"/>
    <w:rsid w:val="007F750D"/>
    <w:rsid w:val="008036A7"/>
    <w:rsid w:val="0082207C"/>
    <w:rsid w:val="008237C1"/>
    <w:rsid w:val="00885889"/>
    <w:rsid w:val="008A7700"/>
    <w:rsid w:val="008B324B"/>
    <w:rsid w:val="008E4312"/>
    <w:rsid w:val="00901BA5"/>
    <w:rsid w:val="00907520"/>
    <w:rsid w:val="0091581C"/>
    <w:rsid w:val="009251D6"/>
    <w:rsid w:val="009439BB"/>
    <w:rsid w:val="009C1327"/>
    <w:rsid w:val="00A13C04"/>
    <w:rsid w:val="00A31593"/>
    <w:rsid w:val="00A82E0B"/>
    <w:rsid w:val="00AA56E3"/>
    <w:rsid w:val="00AC65CB"/>
    <w:rsid w:val="00AE2BAD"/>
    <w:rsid w:val="00AE4B70"/>
    <w:rsid w:val="00AE73CB"/>
    <w:rsid w:val="00AF4813"/>
    <w:rsid w:val="00B11D37"/>
    <w:rsid w:val="00B13BB4"/>
    <w:rsid w:val="00B23463"/>
    <w:rsid w:val="00B31E9F"/>
    <w:rsid w:val="00B33C31"/>
    <w:rsid w:val="00B95B5F"/>
    <w:rsid w:val="00BD43FE"/>
    <w:rsid w:val="00C3284B"/>
    <w:rsid w:val="00C7261A"/>
    <w:rsid w:val="00C92822"/>
    <w:rsid w:val="00C94F09"/>
    <w:rsid w:val="00CA7591"/>
    <w:rsid w:val="00CC3C56"/>
    <w:rsid w:val="00CD659A"/>
    <w:rsid w:val="00CF20DF"/>
    <w:rsid w:val="00D21B90"/>
    <w:rsid w:val="00D52344"/>
    <w:rsid w:val="00D62599"/>
    <w:rsid w:val="00D82EC9"/>
    <w:rsid w:val="00DC0ED7"/>
    <w:rsid w:val="00DF616F"/>
    <w:rsid w:val="00DF70CF"/>
    <w:rsid w:val="00E224AD"/>
    <w:rsid w:val="00E23895"/>
    <w:rsid w:val="00E4296D"/>
    <w:rsid w:val="00E6236B"/>
    <w:rsid w:val="00E72C01"/>
    <w:rsid w:val="00E94B93"/>
    <w:rsid w:val="00EA28C1"/>
    <w:rsid w:val="00EC0BA5"/>
    <w:rsid w:val="00EE2BDF"/>
    <w:rsid w:val="00F05334"/>
    <w:rsid w:val="00F06252"/>
    <w:rsid w:val="00F21497"/>
    <w:rsid w:val="00F308B3"/>
    <w:rsid w:val="00F84B2E"/>
    <w:rsid w:val="00FA0E5A"/>
    <w:rsid w:val="00FE02ED"/>
    <w:rsid w:val="03664CE0"/>
    <w:rsid w:val="0D444E5B"/>
    <w:rsid w:val="13E9668E"/>
    <w:rsid w:val="220033D6"/>
    <w:rsid w:val="25F2731F"/>
    <w:rsid w:val="28ED5D5B"/>
    <w:rsid w:val="2BB00A4F"/>
    <w:rsid w:val="2E824DE2"/>
    <w:rsid w:val="3B3A2793"/>
    <w:rsid w:val="3DA249BE"/>
    <w:rsid w:val="3DF935E4"/>
    <w:rsid w:val="58A43E17"/>
    <w:rsid w:val="5A6F2246"/>
    <w:rsid w:val="60FF7D97"/>
    <w:rsid w:val="62175567"/>
    <w:rsid w:val="62ED68DD"/>
    <w:rsid w:val="64BE1A32"/>
    <w:rsid w:val="65D44587"/>
    <w:rsid w:val="6BAC623C"/>
    <w:rsid w:val="7AEE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FD89"/>
  <w15:docId w15:val="{6029DAB0-B53E-4B5D-AD62-342A8944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unhideWhenUsed="1" w:qFormat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jc w:val="both"/>
    </w:pPr>
    <w:rPr>
      <w:rFonts w:cs="Calibri"/>
      <w:kern w:val="2"/>
      <w:sz w:val="21"/>
      <w:szCs w:val="22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reszwrotnynakopercie">
    <w:name w:val="envelope return"/>
    <w:basedOn w:val="Normalny"/>
    <w:uiPriority w:val="99"/>
    <w:unhideWhenUsed/>
    <w:qFormat/>
    <w:rPr>
      <w:rFonts w:ascii="SimSun" w:eastAsia="MS Mincho;Yu Gothic UI" w:hAnsi="Arial" w:cs="Times New Roman" w:hint="eastAsia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18"/>
      <w:szCs w:val="18"/>
    </w:rPr>
  </w:style>
  <w:style w:type="character" w:customStyle="1" w:styleId="SFPara-ClauseChar">
    <w:name w:val="SF Para - Clause Char"/>
    <w:basedOn w:val="Domylnaczcionkaakapitu"/>
    <w:link w:val="SFPara-Clause"/>
    <w:rPr>
      <w:color w:val="000000"/>
    </w:rPr>
  </w:style>
  <w:style w:type="paragraph" w:customStyle="1" w:styleId="SFPara-Clause">
    <w:name w:val="SF Para - Clause"/>
    <w:link w:val="SFPara-ClauseChar"/>
    <w:qFormat/>
    <w:pPr>
      <w:numPr>
        <w:numId w:val="1"/>
      </w:numPr>
      <w:spacing w:before="240" w:after="240"/>
      <w:outlineLvl w:val="0"/>
    </w:pPr>
    <w:rPr>
      <w:color w:val="000000"/>
      <w:lang w:val="en-US" w:eastAsia="zh-CN"/>
    </w:rPr>
  </w:style>
  <w:style w:type="character" w:customStyle="1" w:styleId="Title-Clause">
    <w:name w:val="Title - Clause"/>
    <w:basedOn w:val="Domylnaczcionkaakapitu"/>
    <w:uiPriority w:val="1"/>
    <w:rPr>
      <w:rFonts w:ascii="Times New Roman" w:hAnsi="Times New Roman" w:cs="Times New Roman"/>
      <w:color w:val="000000"/>
      <w:sz w:val="24"/>
      <w:u w:val="single"/>
      <w:vertAlign w:val="baseline"/>
    </w:rPr>
  </w:style>
  <w:style w:type="paragraph" w:customStyle="1" w:styleId="SFParasubclause1">
    <w:name w:val="SF Para subclause 1"/>
    <w:qFormat/>
    <w:pPr>
      <w:numPr>
        <w:ilvl w:val="1"/>
        <w:numId w:val="1"/>
      </w:numPr>
      <w:tabs>
        <w:tab w:val="left" w:pos="1440"/>
        <w:tab w:val="left" w:pos="2160"/>
      </w:tabs>
      <w:spacing w:before="120" w:after="240"/>
      <w:outlineLvl w:val="1"/>
    </w:pPr>
    <w:rPr>
      <w:rFonts w:eastAsiaTheme="minorEastAsia"/>
      <w:color w:val="000000"/>
      <w:sz w:val="24"/>
      <w:szCs w:val="24"/>
      <w:lang w:val="en-US" w:eastAsia="zh-CN"/>
    </w:rPr>
  </w:style>
  <w:style w:type="paragraph" w:customStyle="1" w:styleId="SFParasubclause2">
    <w:name w:val="SF Para subclause 2"/>
    <w:qFormat/>
    <w:pPr>
      <w:numPr>
        <w:ilvl w:val="2"/>
        <w:numId w:val="1"/>
      </w:numPr>
      <w:spacing w:before="120" w:after="240"/>
      <w:outlineLvl w:val="2"/>
    </w:pPr>
    <w:rPr>
      <w:rFonts w:eastAsiaTheme="minorEastAsia"/>
      <w:color w:val="000000"/>
      <w:sz w:val="24"/>
      <w:szCs w:val="24"/>
      <w:lang w:val="en-US" w:eastAsia="zh-CN"/>
    </w:rPr>
  </w:style>
  <w:style w:type="paragraph" w:customStyle="1" w:styleId="SFParasubclause3">
    <w:name w:val="SF Para subclause 3"/>
    <w:qFormat/>
    <w:pPr>
      <w:numPr>
        <w:ilvl w:val="3"/>
        <w:numId w:val="1"/>
      </w:numPr>
      <w:spacing w:before="120" w:after="240"/>
      <w:outlineLvl w:val="3"/>
    </w:pPr>
    <w:rPr>
      <w:rFonts w:eastAsiaTheme="minorEastAsia"/>
      <w:color w:val="000000"/>
      <w:sz w:val="24"/>
      <w:szCs w:val="24"/>
      <w:lang w:val="en-US" w:eastAsia="zh-CN"/>
    </w:rPr>
  </w:style>
  <w:style w:type="paragraph" w:styleId="Poprawka">
    <w:name w:val="Revision"/>
    <w:hidden/>
    <w:uiPriority w:val="99"/>
    <w:semiHidden/>
    <w:rsid w:val="001C0E63"/>
    <w:rPr>
      <w:rFonts w:cs="Calibri"/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891</Words>
  <Characters>6329</Characters>
  <Application>Microsoft Office Word</Application>
  <DocSecurity>0</DocSecurity>
  <Lines>134</Lines>
  <Paragraphs>22</Paragraphs>
  <ScaleCrop>false</ScaleCrop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shuting.duan_HQ-Legal</dc:creator>
  <cp:lastModifiedBy>Bartek Pietrzyk</cp:lastModifiedBy>
  <cp:revision>16</cp:revision>
  <dcterms:created xsi:type="dcterms:W3CDTF">2021-11-30T02:57:00Z</dcterms:created>
  <dcterms:modified xsi:type="dcterms:W3CDTF">2023-03-23T06:08:00Z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59993660E94149DB8C480F15C26F1D90</vt:lpwstr>
  </property>
  <property fmtid="{D5CDD505-2E9C-101B-9397-08002B2CF9AE}" pid="5" name="_NewReviewCycle">
    <vt:lpwstr/>
  </property>
</Properties>
</file>